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6FB477" w14:textId="77777777" w:rsidR="00B9607C" w:rsidRPr="007D133E" w:rsidRDefault="00A976D7" w:rsidP="00A976D7">
      <w:pPr>
        <w:jc w:val="center"/>
        <w:rPr>
          <w:b/>
        </w:rPr>
      </w:pPr>
      <w:r w:rsidRPr="007D133E">
        <w:rPr>
          <w:b/>
        </w:rPr>
        <w:t>КРАТКА ХАРАКТЕРИСТИКА НА ПРОДУКТА</w:t>
      </w:r>
    </w:p>
    <w:p w14:paraId="126FB478" w14:textId="77777777" w:rsidR="00A976D7" w:rsidRPr="007D133E" w:rsidRDefault="00A976D7" w:rsidP="00A976D7">
      <w:pPr>
        <w:jc w:val="center"/>
        <w:rPr>
          <w:b/>
        </w:rPr>
      </w:pPr>
    </w:p>
    <w:p w14:paraId="126FB479" w14:textId="77777777" w:rsidR="00A976D7" w:rsidRPr="007D133E" w:rsidRDefault="00A976D7" w:rsidP="00A976D7">
      <w:pPr>
        <w:jc w:val="center"/>
        <w:rPr>
          <w:b/>
        </w:rPr>
      </w:pPr>
    </w:p>
    <w:p w14:paraId="126FB47A" w14:textId="77777777" w:rsidR="00A976D7" w:rsidRPr="007D133E" w:rsidRDefault="00A976D7" w:rsidP="000708FE">
      <w:pPr>
        <w:tabs>
          <w:tab w:val="left" w:pos="540"/>
        </w:tabs>
        <w:jc w:val="both"/>
        <w:rPr>
          <w:b/>
        </w:rPr>
      </w:pPr>
      <w:r w:rsidRPr="007D133E">
        <w:rPr>
          <w:b/>
        </w:rPr>
        <w:t>1.</w:t>
      </w:r>
      <w:r w:rsidRPr="007D133E">
        <w:rPr>
          <w:b/>
        </w:rPr>
        <w:tab/>
        <w:t>ИМЕ НА ЛЕКАРСТВЕНИЯ ПРОДУКТ</w:t>
      </w:r>
    </w:p>
    <w:p w14:paraId="126FB47B" w14:textId="77777777" w:rsidR="00A976D7" w:rsidRPr="007D133E" w:rsidRDefault="00A976D7" w:rsidP="000708FE">
      <w:pPr>
        <w:jc w:val="both"/>
        <w:rPr>
          <w:b/>
        </w:rPr>
      </w:pPr>
    </w:p>
    <w:p w14:paraId="126FB47D" w14:textId="627E006F" w:rsidR="00A976D7" w:rsidRPr="002706B4" w:rsidRDefault="00A976D7" w:rsidP="000708FE">
      <w:pPr>
        <w:jc w:val="both"/>
        <w:rPr>
          <w:b/>
        </w:rPr>
      </w:pPr>
      <w:bookmarkStart w:id="0" w:name="OLE_LINK1"/>
      <w:r w:rsidRPr="002706B4">
        <w:rPr>
          <w:b/>
        </w:rPr>
        <w:t>СЕНСИЛУКС</w:t>
      </w:r>
      <w:bookmarkEnd w:id="0"/>
      <w:r w:rsidRPr="002706B4">
        <w:rPr>
          <w:b/>
        </w:rPr>
        <w:t xml:space="preserve"> УНИМЕД ФАРМА </w:t>
      </w:r>
      <w:r w:rsidRPr="002706B4">
        <w:rPr>
          <w:b/>
          <w:vertAlign w:val="superscript"/>
        </w:rPr>
        <w:t xml:space="preserve"> </w:t>
      </w:r>
      <w:r w:rsidRPr="002706B4">
        <w:rPr>
          <w:b/>
        </w:rPr>
        <w:t xml:space="preserve">0,5 </w:t>
      </w:r>
      <w:proofErr w:type="spellStart"/>
      <w:r w:rsidRPr="002706B4">
        <w:rPr>
          <w:b/>
        </w:rPr>
        <w:t>mg</w:t>
      </w:r>
      <w:proofErr w:type="spellEnd"/>
      <w:r w:rsidRPr="002706B4">
        <w:rPr>
          <w:b/>
        </w:rPr>
        <w:t>/ml капки за очи, разтвор</w:t>
      </w:r>
    </w:p>
    <w:p w14:paraId="3CAC5F18" w14:textId="77777777" w:rsidR="00F56C87" w:rsidRPr="002706B4" w:rsidRDefault="00F56C87" w:rsidP="00F56C87">
      <w:pPr>
        <w:jc w:val="both"/>
        <w:rPr>
          <w:b/>
          <w:bCs/>
        </w:rPr>
      </w:pPr>
      <w:r w:rsidRPr="002706B4">
        <w:rPr>
          <w:b/>
          <w:bCs/>
          <w:caps/>
        </w:rPr>
        <w:t xml:space="preserve">SENSILUX UNIMED PHARMA 0,5 </w:t>
      </w:r>
      <w:proofErr w:type="spellStart"/>
      <w:r w:rsidRPr="002706B4">
        <w:rPr>
          <w:b/>
          <w:bCs/>
        </w:rPr>
        <w:t>mg</w:t>
      </w:r>
      <w:proofErr w:type="spellEnd"/>
      <w:r w:rsidRPr="002706B4">
        <w:rPr>
          <w:b/>
          <w:bCs/>
        </w:rPr>
        <w:t xml:space="preserve">/ml </w:t>
      </w:r>
      <w:proofErr w:type="spellStart"/>
      <w:r w:rsidRPr="002706B4">
        <w:rPr>
          <w:b/>
          <w:bCs/>
        </w:rPr>
        <w:t>eye</w:t>
      </w:r>
      <w:proofErr w:type="spellEnd"/>
      <w:r w:rsidRPr="002706B4">
        <w:rPr>
          <w:b/>
          <w:bCs/>
        </w:rPr>
        <w:t xml:space="preserve"> </w:t>
      </w:r>
      <w:proofErr w:type="spellStart"/>
      <w:r w:rsidRPr="002706B4">
        <w:rPr>
          <w:b/>
          <w:bCs/>
        </w:rPr>
        <w:t>drops</w:t>
      </w:r>
      <w:proofErr w:type="spellEnd"/>
      <w:r w:rsidRPr="002706B4">
        <w:rPr>
          <w:b/>
          <w:bCs/>
        </w:rPr>
        <w:t xml:space="preserve">, </w:t>
      </w:r>
      <w:proofErr w:type="spellStart"/>
      <w:r w:rsidRPr="002706B4">
        <w:rPr>
          <w:b/>
          <w:bCs/>
        </w:rPr>
        <w:t>solution</w:t>
      </w:r>
      <w:proofErr w:type="spellEnd"/>
    </w:p>
    <w:p w14:paraId="126FB47E" w14:textId="77777777" w:rsidR="00A976D7" w:rsidRPr="002706B4" w:rsidRDefault="00A976D7" w:rsidP="000708FE">
      <w:pPr>
        <w:jc w:val="both"/>
        <w:rPr>
          <w:b/>
        </w:rPr>
      </w:pPr>
    </w:p>
    <w:p w14:paraId="126FB47F" w14:textId="77777777" w:rsidR="00A976D7" w:rsidRPr="002706B4" w:rsidRDefault="00A976D7" w:rsidP="000708FE">
      <w:pPr>
        <w:jc w:val="both"/>
        <w:rPr>
          <w:b/>
        </w:rPr>
      </w:pPr>
    </w:p>
    <w:p w14:paraId="126FB480" w14:textId="77777777" w:rsidR="00A976D7" w:rsidRPr="002706B4" w:rsidRDefault="00A976D7" w:rsidP="000708FE">
      <w:pPr>
        <w:tabs>
          <w:tab w:val="left" w:pos="540"/>
        </w:tabs>
        <w:jc w:val="both"/>
        <w:rPr>
          <w:b/>
        </w:rPr>
      </w:pPr>
      <w:r w:rsidRPr="002706B4">
        <w:rPr>
          <w:b/>
        </w:rPr>
        <w:t>2.</w:t>
      </w:r>
      <w:r w:rsidRPr="002706B4">
        <w:rPr>
          <w:b/>
        </w:rPr>
        <w:tab/>
        <w:t>КАЧЕСТВЕН И КОЛИЧЕСТВЕН СЪСТАВ</w:t>
      </w:r>
    </w:p>
    <w:p w14:paraId="126FB481" w14:textId="77777777" w:rsidR="00A976D7" w:rsidRPr="002706B4" w:rsidRDefault="00A976D7" w:rsidP="000708FE">
      <w:pPr>
        <w:jc w:val="both"/>
      </w:pPr>
    </w:p>
    <w:p w14:paraId="126FB482" w14:textId="793C1858" w:rsidR="00A976D7" w:rsidRPr="002706B4" w:rsidRDefault="00A976D7" w:rsidP="000708FE">
      <w:pPr>
        <w:jc w:val="both"/>
      </w:pPr>
      <w:r w:rsidRPr="002706B4">
        <w:t xml:space="preserve">1 ml разтвор съдържа </w:t>
      </w:r>
      <w:proofErr w:type="spellStart"/>
      <w:r w:rsidRPr="002706B4">
        <w:t>тетризолинов</w:t>
      </w:r>
      <w:proofErr w:type="spellEnd"/>
      <w:r w:rsidRPr="002706B4">
        <w:t xml:space="preserve"> хидрохлорид (</w:t>
      </w:r>
      <w:r w:rsidR="00F56C87">
        <w:rPr>
          <w:i/>
          <w:lang w:val="en-US"/>
        </w:rPr>
        <w:t>t</w:t>
      </w:r>
      <w:proofErr w:type="spellStart"/>
      <w:r w:rsidR="00F56C87" w:rsidRPr="002706B4">
        <w:rPr>
          <w:i/>
        </w:rPr>
        <w:t>etryzoline</w:t>
      </w:r>
      <w:proofErr w:type="spellEnd"/>
      <w:r w:rsidR="00F56C87" w:rsidRPr="002706B4">
        <w:rPr>
          <w:i/>
        </w:rPr>
        <w:t xml:space="preserve"> </w:t>
      </w:r>
      <w:proofErr w:type="spellStart"/>
      <w:r w:rsidRPr="002706B4">
        <w:rPr>
          <w:i/>
        </w:rPr>
        <w:t>hydrochloride</w:t>
      </w:r>
      <w:proofErr w:type="spellEnd"/>
      <w:r w:rsidRPr="002706B4">
        <w:t xml:space="preserve">) 0,5 </w:t>
      </w:r>
      <w:proofErr w:type="spellStart"/>
      <w:r w:rsidRPr="002706B4">
        <w:t>mg</w:t>
      </w:r>
      <w:proofErr w:type="spellEnd"/>
      <w:r w:rsidRPr="002706B4">
        <w:t>.</w:t>
      </w:r>
    </w:p>
    <w:p w14:paraId="126FB483" w14:textId="77777777" w:rsidR="00A976D7" w:rsidRPr="002706B4" w:rsidRDefault="00A976D7" w:rsidP="000708FE">
      <w:pPr>
        <w:jc w:val="both"/>
        <w:rPr>
          <w:b/>
          <w:bCs/>
        </w:rPr>
      </w:pPr>
    </w:p>
    <w:p w14:paraId="126FB484" w14:textId="77777777" w:rsidR="00A976D7" w:rsidRPr="007D133E" w:rsidRDefault="00A976D7" w:rsidP="000708FE">
      <w:pPr>
        <w:jc w:val="both"/>
      </w:pPr>
      <w:r w:rsidRPr="007D133E">
        <w:t xml:space="preserve">За пълния списък на помощните вещества вижте </w:t>
      </w:r>
      <w:r w:rsidR="0027586F">
        <w:rPr>
          <w:bCs/>
          <w:szCs w:val="22"/>
        </w:rPr>
        <w:t>точка</w:t>
      </w:r>
      <w:r w:rsidR="0027586F" w:rsidRPr="007D133E" w:rsidDel="0027586F">
        <w:t xml:space="preserve"> </w:t>
      </w:r>
      <w:r w:rsidRPr="007D133E">
        <w:t>6.1.</w:t>
      </w:r>
    </w:p>
    <w:p w14:paraId="126FB485" w14:textId="77777777" w:rsidR="00A976D7" w:rsidRPr="007D133E" w:rsidRDefault="00A976D7" w:rsidP="000708FE">
      <w:pPr>
        <w:jc w:val="both"/>
      </w:pPr>
    </w:p>
    <w:p w14:paraId="126FB486" w14:textId="77777777" w:rsidR="00A976D7" w:rsidRPr="007D133E" w:rsidRDefault="00A976D7" w:rsidP="000708FE">
      <w:pPr>
        <w:jc w:val="both"/>
      </w:pPr>
    </w:p>
    <w:p w14:paraId="126FB487" w14:textId="77777777" w:rsidR="00A976D7" w:rsidRPr="007D133E" w:rsidRDefault="00A976D7" w:rsidP="000708FE">
      <w:pPr>
        <w:tabs>
          <w:tab w:val="left" w:pos="540"/>
        </w:tabs>
        <w:jc w:val="both"/>
        <w:rPr>
          <w:b/>
        </w:rPr>
      </w:pPr>
      <w:r w:rsidRPr="007D133E">
        <w:rPr>
          <w:b/>
        </w:rPr>
        <w:t>3.</w:t>
      </w:r>
      <w:r w:rsidRPr="007D133E">
        <w:rPr>
          <w:b/>
        </w:rPr>
        <w:tab/>
        <w:t>ЛЕКАРСТВЕНА ФОРМА</w:t>
      </w:r>
    </w:p>
    <w:p w14:paraId="126FB488" w14:textId="77777777" w:rsidR="00A976D7" w:rsidRPr="007D133E" w:rsidRDefault="00A976D7" w:rsidP="000708FE">
      <w:pPr>
        <w:jc w:val="both"/>
      </w:pPr>
      <w:r w:rsidRPr="007D133E">
        <w:t xml:space="preserve"> </w:t>
      </w:r>
    </w:p>
    <w:p w14:paraId="126FB489" w14:textId="77777777" w:rsidR="00A976D7" w:rsidRPr="007D133E" w:rsidRDefault="00A976D7" w:rsidP="000708FE">
      <w:pPr>
        <w:jc w:val="both"/>
      </w:pPr>
      <w:r w:rsidRPr="007D133E">
        <w:t>Капки за очи, разтвор</w:t>
      </w:r>
    </w:p>
    <w:p w14:paraId="126FB48A" w14:textId="77777777" w:rsidR="00A976D7" w:rsidRPr="007D133E" w:rsidRDefault="00A86B20" w:rsidP="000708FE">
      <w:pPr>
        <w:jc w:val="both"/>
      </w:pPr>
      <w:r>
        <w:t xml:space="preserve">Бистра, </w:t>
      </w:r>
      <w:proofErr w:type="spellStart"/>
      <w:r>
        <w:t>жълтa</w:t>
      </w:r>
      <w:proofErr w:type="spellEnd"/>
      <w:r>
        <w:t xml:space="preserve"> </w:t>
      </w:r>
      <w:r w:rsidR="002861BF" w:rsidRPr="002861BF">
        <w:t>течност без механични примеси.</w:t>
      </w:r>
    </w:p>
    <w:p w14:paraId="126FB48B" w14:textId="77777777" w:rsidR="00A976D7" w:rsidRDefault="00A976D7" w:rsidP="000708FE">
      <w:pPr>
        <w:jc w:val="both"/>
        <w:rPr>
          <w:lang w:val="sk-SK"/>
        </w:rPr>
      </w:pPr>
    </w:p>
    <w:p w14:paraId="126FB48C" w14:textId="77777777" w:rsidR="007A47F6" w:rsidRPr="002706B4" w:rsidRDefault="007A47F6" w:rsidP="000708FE">
      <w:pPr>
        <w:jc w:val="both"/>
        <w:rPr>
          <w:lang w:val="sk-SK"/>
        </w:rPr>
      </w:pPr>
    </w:p>
    <w:p w14:paraId="126FB48D" w14:textId="77777777" w:rsidR="00A976D7" w:rsidRPr="007D133E" w:rsidRDefault="00A976D7" w:rsidP="000708FE">
      <w:pPr>
        <w:tabs>
          <w:tab w:val="left" w:pos="540"/>
        </w:tabs>
        <w:jc w:val="both"/>
        <w:rPr>
          <w:b/>
        </w:rPr>
      </w:pPr>
      <w:r w:rsidRPr="007D133E">
        <w:rPr>
          <w:b/>
        </w:rPr>
        <w:t>4.</w:t>
      </w:r>
      <w:r w:rsidRPr="007D133E">
        <w:rPr>
          <w:b/>
        </w:rPr>
        <w:tab/>
        <w:t>КЛИНИЧНИ ДАННИ</w:t>
      </w:r>
    </w:p>
    <w:p w14:paraId="126FB48E" w14:textId="77777777" w:rsidR="00A976D7" w:rsidRPr="007D133E" w:rsidRDefault="00A976D7" w:rsidP="000708FE">
      <w:pPr>
        <w:jc w:val="both"/>
        <w:rPr>
          <w:b/>
        </w:rPr>
      </w:pPr>
    </w:p>
    <w:p w14:paraId="126FB48F" w14:textId="77777777" w:rsidR="00A976D7" w:rsidRPr="007D133E" w:rsidRDefault="00A976D7" w:rsidP="000708FE">
      <w:pPr>
        <w:numPr>
          <w:ilvl w:val="1"/>
          <w:numId w:val="1"/>
        </w:numPr>
        <w:tabs>
          <w:tab w:val="clear" w:pos="705"/>
          <w:tab w:val="num" w:pos="540"/>
        </w:tabs>
        <w:ind w:left="540" w:hanging="540"/>
        <w:jc w:val="both"/>
        <w:rPr>
          <w:b/>
        </w:rPr>
      </w:pPr>
      <w:r w:rsidRPr="007D133E">
        <w:rPr>
          <w:b/>
        </w:rPr>
        <w:t>Терапевтични показания</w:t>
      </w:r>
    </w:p>
    <w:p w14:paraId="126FB490" w14:textId="77777777" w:rsidR="009D78E5" w:rsidRDefault="009D78E5" w:rsidP="000708FE">
      <w:pPr>
        <w:jc w:val="both"/>
        <w:rPr>
          <w:lang w:val="sk-SK"/>
        </w:rPr>
      </w:pPr>
    </w:p>
    <w:p w14:paraId="126FB491" w14:textId="77777777" w:rsidR="00A976D7" w:rsidRPr="007D133E" w:rsidRDefault="00A976D7" w:rsidP="000708FE">
      <w:pPr>
        <w:jc w:val="both"/>
      </w:pPr>
      <w:r w:rsidRPr="007D133E">
        <w:t xml:space="preserve">СЕНСИЛУКС УНИМЕД ФАРМА е лекарствен продукт, който се използва за лечение на симптоми на </w:t>
      </w:r>
      <w:proofErr w:type="spellStart"/>
      <w:r w:rsidRPr="007D133E">
        <w:t>конюнктивална</w:t>
      </w:r>
      <w:proofErr w:type="spellEnd"/>
      <w:r w:rsidRPr="007D133E">
        <w:t xml:space="preserve"> едема и </w:t>
      </w:r>
      <w:proofErr w:type="spellStart"/>
      <w:r w:rsidRPr="007D133E">
        <w:t>хиперемия</w:t>
      </w:r>
      <w:proofErr w:type="spellEnd"/>
      <w:r w:rsidRPr="007D133E">
        <w:t xml:space="preserve"> при пациенти с очно дразнене, дължащо се на вятър, прах, светлина, дим, хлорирана вода, козметични продукти или контактни лещи. Той се използва също за лечение на алергично възпалителни симптоми, предизвикани от свръхчувствителност към полени. Той намалява чувството на парене, дразнене, сърбеж, болка и засилено </w:t>
      </w:r>
      <w:proofErr w:type="spellStart"/>
      <w:r w:rsidRPr="007D133E">
        <w:t>сълзоотделяне</w:t>
      </w:r>
      <w:proofErr w:type="spellEnd"/>
      <w:r w:rsidRPr="007D133E">
        <w:t>.</w:t>
      </w:r>
    </w:p>
    <w:p w14:paraId="126FB492" w14:textId="77777777" w:rsidR="007D77C0" w:rsidRPr="007D133E" w:rsidRDefault="007D77C0" w:rsidP="000708FE">
      <w:pPr>
        <w:jc w:val="both"/>
      </w:pPr>
    </w:p>
    <w:p w14:paraId="126FB493" w14:textId="77777777" w:rsidR="007D77C0" w:rsidRPr="007D133E" w:rsidRDefault="007D77C0" w:rsidP="000708FE">
      <w:pPr>
        <w:numPr>
          <w:ilvl w:val="1"/>
          <w:numId w:val="1"/>
        </w:numPr>
        <w:tabs>
          <w:tab w:val="clear" w:pos="705"/>
        </w:tabs>
        <w:ind w:left="540" w:hanging="540"/>
        <w:jc w:val="both"/>
        <w:rPr>
          <w:b/>
        </w:rPr>
      </w:pPr>
      <w:r w:rsidRPr="007D133E">
        <w:rPr>
          <w:b/>
        </w:rPr>
        <w:t>Дозировка и начин на приложение</w:t>
      </w:r>
    </w:p>
    <w:p w14:paraId="126FB494" w14:textId="77777777" w:rsidR="006246C8" w:rsidRPr="007D133E" w:rsidRDefault="006246C8" w:rsidP="000708FE">
      <w:pPr>
        <w:jc w:val="both"/>
        <w:rPr>
          <w:i/>
          <w:lang w:val="en-US"/>
        </w:rPr>
      </w:pPr>
    </w:p>
    <w:p w14:paraId="126FB495" w14:textId="77777777" w:rsidR="006246C8" w:rsidRPr="002706B4" w:rsidRDefault="006246C8" w:rsidP="000708FE">
      <w:pPr>
        <w:jc w:val="both"/>
        <w:rPr>
          <w:u w:val="single"/>
          <w:lang w:val="en-US"/>
        </w:rPr>
      </w:pPr>
      <w:proofErr w:type="spellStart"/>
      <w:r w:rsidRPr="002706B4">
        <w:rPr>
          <w:u w:val="single"/>
          <w:lang w:val="en-US"/>
        </w:rPr>
        <w:t>Дозировка</w:t>
      </w:r>
      <w:proofErr w:type="spellEnd"/>
    </w:p>
    <w:p w14:paraId="126FB496" w14:textId="77777777" w:rsidR="007D77C0" w:rsidRPr="007D133E" w:rsidRDefault="007D77C0" w:rsidP="000708FE">
      <w:pPr>
        <w:jc w:val="both"/>
        <w:rPr>
          <w:i/>
        </w:rPr>
      </w:pPr>
      <w:r w:rsidRPr="007D133E">
        <w:rPr>
          <w:i/>
        </w:rPr>
        <w:t>Възрастни</w:t>
      </w:r>
    </w:p>
    <w:p w14:paraId="126FB497" w14:textId="77777777" w:rsidR="007D77C0" w:rsidRPr="007D133E" w:rsidRDefault="007D77C0" w:rsidP="000708FE">
      <w:pPr>
        <w:jc w:val="both"/>
      </w:pPr>
      <w:r w:rsidRPr="007D133E">
        <w:t xml:space="preserve">В зависимост от характера на заболяването, </w:t>
      </w:r>
      <w:r w:rsidR="00547F26" w:rsidRPr="002706B4">
        <w:t xml:space="preserve">по 1-2 капки от 2 до 3 пъти дневно в </w:t>
      </w:r>
      <w:proofErr w:type="spellStart"/>
      <w:r w:rsidR="00547F26" w:rsidRPr="002706B4">
        <w:t>конюнктивалната</w:t>
      </w:r>
      <w:proofErr w:type="spellEnd"/>
      <w:r w:rsidR="00547F26" w:rsidRPr="002706B4">
        <w:t xml:space="preserve"> торбичка</w:t>
      </w:r>
      <w:r w:rsidRPr="007D133E">
        <w:t>.</w:t>
      </w:r>
    </w:p>
    <w:p w14:paraId="126FB498" w14:textId="77777777" w:rsidR="007D77C0" w:rsidRPr="007D133E" w:rsidRDefault="007D77C0" w:rsidP="000708FE">
      <w:pPr>
        <w:jc w:val="both"/>
      </w:pPr>
      <w:r w:rsidRPr="007D133E">
        <w:t xml:space="preserve">Продължителността на лечение е индивидуална, като не се </w:t>
      </w:r>
      <w:r w:rsidR="00AB4EC8" w:rsidRPr="007D133E">
        <w:t>препоръчва</w:t>
      </w:r>
      <w:r w:rsidRPr="007D133E">
        <w:t xml:space="preserve"> да трае по-дълго от 72 часа. За препоръчване е лечението да се спре при изчезване </w:t>
      </w:r>
      <w:r w:rsidR="00AB4EC8" w:rsidRPr="007D133E">
        <w:t>на</w:t>
      </w:r>
      <w:r w:rsidRPr="007D133E">
        <w:t xml:space="preserve"> симптомите. Рядко продуктът може да се използва без ограничение.</w:t>
      </w:r>
    </w:p>
    <w:p w14:paraId="126FB499" w14:textId="77777777" w:rsidR="006246C8" w:rsidRPr="007D133E" w:rsidRDefault="006246C8" w:rsidP="000708FE">
      <w:pPr>
        <w:jc w:val="both"/>
        <w:rPr>
          <w:i/>
          <w:lang w:val="en-US"/>
        </w:rPr>
      </w:pPr>
    </w:p>
    <w:p w14:paraId="126FB49A" w14:textId="77777777" w:rsidR="006246C8" w:rsidRPr="007D133E" w:rsidRDefault="006246C8" w:rsidP="002706B4">
      <w:pPr>
        <w:rPr>
          <w:bCs/>
          <w:i/>
          <w:iCs/>
          <w:lang w:val="en-US"/>
        </w:rPr>
      </w:pPr>
      <w:r w:rsidRPr="007D133E">
        <w:rPr>
          <w:bCs/>
          <w:i/>
          <w:iCs/>
        </w:rPr>
        <w:t>Педиатрична популация</w:t>
      </w:r>
    </w:p>
    <w:p w14:paraId="126FB49B" w14:textId="77777777" w:rsidR="007D77C0" w:rsidRPr="007D133E" w:rsidRDefault="007D77C0" w:rsidP="000708FE">
      <w:pPr>
        <w:jc w:val="both"/>
        <w:rPr>
          <w:i/>
        </w:rPr>
      </w:pPr>
      <w:r w:rsidRPr="007D133E">
        <w:rPr>
          <w:i/>
        </w:rPr>
        <w:t>Деца над 7 години</w:t>
      </w:r>
    </w:p>
    <w:p w14:paraId="126FB49C" w14:textId="77777777" w:rsidR="007D77C0" w:rsidRPr="007D133E" w:rsidRDefault="007D77C0" w:rsidP="000708FE">
      <w:pPr>
        <w:jc w:val="both"/>
      </w:pPr>
      <w:r w:rsidRPr="007D133E">
        <w:t xml:space="preserve">При необходимост по </w:t>
      </w:r>
      <w:r w:rsidR="00EB53F1" w:rsidRPr="002706B4">
        <w:t xml:space="preserve">1 капка 1 до 2 пъти дневно в </w:t>
      </w:r>
      <w:proofErr w:type="spellStart"/>
      <w:r w:rsidR="00EB53F1" w:rsidRPr="002706B4">
        <w:t>конюнктивалната</w:t>
      </w:r>
      <w:proofErr w:type="spellEnd"/>
      <w:r w:rsidR="00EB53F1" w:rsidRPr="002706B4">
        <w:t xml:space="preserve"> торбичка</w:t>
      </w:r>
      <w:r w:rsidRPr="007D133E">
        <w:t>.</w:t>
      </w:r>
    </w:p>
    <w:p w14:paraId="126FB49D" w14:textId="77777777" w:rsidR="007D77C0" w:rsidRPr="007D133E" w:rsidRDefault="007D77C0" w:rsidP="000708FE">
      <w:pPr>
        <w:jc w:val="both"/>
      </w:pPr>
    </w:p>
    <w:p w14:paraId="126FB49E" w14:textId="77777777" w:rsidR="007D77C0" w:rsidRPr="007D133E" w:rsidRDefault="007D77C0" w:rsidP="000708FE">
      <w:pPr>
        <w:numPr>
          <w:ilvl w:val="1"/>
          <w:numId w:val="1"/>
        </w:numPr>
        <w:tabs>
          <w:tab w:val="clear" w:pos="705"/>
          <w:tab w:val="num" w:pos="540"/>
        </w:tabs>
        <w:jc w:val="both"/>
        <w:rPr>
          <w:b/>
        </w:rPr>
      </w:pPr>
      <w:r w:rsidRPr="007D133E">
        <w:rPr>
          <w:b/>
        </w:rPr>
        <w:t>Противопоказания</w:t>
      </w:r>
    </w:p>
    <w:p w14:paraId="126FB49F" w14:textId="77777777" w:rsidR="007D133E" w:rsidRDefault="007D133E" w:rsidP="000708FE">
      <w:pPr>
        <w:jc w:val="both"/>
      </w:pPr>
    </w:p>
    <w:p w14:paraId="126FB4A0" w14:textId="77777777" w:rsidR="00C5318B" w:rsidRDefault="00C5318B" w:rsidP="000708FE">
      <w:pPr>
        <w:jc w:val="both"/>
        <w:rPr>
          <w:lang w:val="sk-SK"/>
        </w:rPr>
      </w:pPr>
      <w:r w:rsidRPr="008F229F">
        <w:lastRenderedPageBreak/>
        <w:t>Свръхчувствителност към активното</w:t>
      </w:r>
      <w:r>
        <w:rPr>
          <w:lang w:val="sk-SK"/>
        </w:rPr>
        <w:t xml:space="preserve"> </w:t>
      </w:r>
      <w:r w:rsidRPr="008F229F">
        <w:t>вещество</w:t>
      </w:r>
      <w:r w:rsidRPr="008F229F">
        <w:rPr>
          <w:szCs w:val="22"/>
        </w:rPr>
        <w:t xml:space="preserve"> </w:t>
      </w:r>
      <w:r w:rsidRPr="008F229F">
        <w:t>или към някое от помощните вещества</w:t>
      </w:r>
      <w:r w:rsidRPr="008F229F">
        <w:rPr>
          <w:szCs w:val="22"/>
        </w:rPr>
        <w:t xml:space="preserve">, </w:t>
      </w:r>
      <w:r w:rsidRPr="008F229F">
        <w:t xml:space="preserve">изброени в точка </w:t>
      </w:r>
      <w:r w:rsidRPr="008F229F">
        <w:rPr>
          <w:noProof/>
        </w:rPr>
        <w:t>6.1</w:t>
      </w:r>
    </w:p>
    <w:p w14:paraId="126FB4A1" w14:textId="77777777" w:rsidR="007D77C0" w:rsidRPr="007D133E" w:rsidRDefault="007D77C0" w:rsidP="000708FE">
      <w:pPr>
        <w:jc w:val="both"/>
      </w:pPr>
      <w:r w:rsidRPr="007D133E">
        <w:t xml:space="preserve">При инфекциозно възпаление (от вирусен или бактериален произход), сух </w:t>
      </w:r>
      <w:proofErr w:type="spellStart"/>
      <w:r w:rsidRPr="007D133E">
        <w:t>кератоконюнктивит</w:t>
      </w:r>
      <w:proofErr w:type="spellEnd"/>
      <w:r w:rsidRPr="007D133E">
        <w:t xml:space="preserve">, намалено </w:t>
      </w:r>
      <w:proofErr w:type="spellStart"/>
      <w:r w:rsidRPr="007D133E">
        <w:t>сълзоотделяне</w:t>
      </w:r>
      <w:proofErr w:type="spellEnd"/>
      <w:r w:rsidRPr="007D133E">
        <w:t xml:space="preserve"> и </w:t>
      </w:r>
      <w:proofErr w:type="spellStart"/>
      <w:r w:rsidRPr="007D133E">
        <w:t>закритоъгълна</w:t>
      </w:r>
      <w:proofErr w:type="spellEnd"/>
      <w:r w:rsidRPr="007D133E">
        <w:t xml:space="preserve"> глаукома.</w:t>
      </w:r>
    </w:p>
    <w:p w14:paraId="126FB4A2" w14:textId="77777777" w:rsidR="007D77C0" w:rsidRPr="007D133E" w:rsidRDefault="007D77C0" w:rsidP="000708FE">
      <w:pPr>
        <w:jc w:val="both"/>
      </w:pPr>
      <w:r w:rsidRPr="007D133E">
        <w:t xml:space="preserve">СЕНСИЛУКС УНИМЕД ФАРМА не трябва да се прилага при деца под </w:t>
      </w:r>
      <w:r w:rsidR="00EB53F1" w:rsidRPr="007D133E">
        <w:t>2 годишна възраст</w:t>
      </w:r>
      <w:r w:rsidRPr="007D133E">
        <w:t>.</w:t>
      </w:r>
    </w:p>
    <w:p w14:paraId="126FB4A3" w14:textId="77777777" w:rsidR="006246C8" w:rsidRPr="007D133E" w:rsidRDefault="007D77C0" w:rsidP="000708FE">
      <w:pPr>
        <w:jc w:val="both"/>
      </w:pPr>
      <w:r w:rsidRPr="007D133E">
        <w:t xml:space="preserve">Прилагането на продукта при деца между 2 и 7 години, а също така и при бременни и кърмещи майки трябва да става само </w:t>
      </w:r>
      <w:r w:rsidR="00EB53F1" w:rsidRPr="007D133E">
        <w:t>при</w:t>
      </w:r>
      <w:r w:rsidRPr="007D133E">
        <w:t xml:space="preserve"> </w:t>
      </w:r>
      <w:proofErr w:type="spellStart"/>
      <w:r w:rsidR="006246C8" w:rsidRPr="007D133E">
        <w:t>категоричн</w:t>
      </w:r>
      <w:proofErr w:type="spellEnd"/>
      <w:r w:rsidR="006246C8" w:rsidRPr="007D133E">
        <w:rPr>
          <w:lang w:val="en-US"/>
        </w:rPr>
        <w:t>a</w:t>
      </w:r>
      <w:r w:rsidR="006246C8" w:rsidRPr="007D133E">
        <w:t xml:space="preserve"> </w:t>
      </w:r>
      <w:r w:rsidR="00EB53F1" w:rsidRPr="007D133E">
        <w:t>необходимост</w:t>
      </w:r>
      <w:r w:rsidRPr="007D133E">
        <w:t>.</w:t>
      </w:r>
    </w:p>
    <w:p w14:paraId="126FB4A4" w14:textId="77777777" w:rsidR="007D77C0" w:rsidRPr="007D133E" w:rsidRDefault="007D77C0" w:rsidP="000708FE">
      <w:pPr>
        <w:jc w:val="both"/>
      </w:pPr>
    </w:p>
    <w:p w14:paraId="126FB4A5" w14:textId="77777777" w:rsidR="007D77C0" w:rsidRPr="007D133E" w:rsidRDefault="007D77C0" w:rsidP="000708FE">
      <w:pPr>
        <w:numPr>
          <w:ilvl w:val="1"/>
          <w:numId w:val="1"/>
        </w:numPr>
        <w:tabs>
          <w:tab w:val="clear" w:pos="705"/>
        </w:tabs>
        <w:ind w:left="540" w:hanging="540"/>
        <w:jc w:val="both"/>
        <w:rPr>
          <w:b/>
        </w:rPr>
      </w:pPr>
      <w:r w:rsidRPr="007D133E">
        <w:rPr>
          <w:b/>
        </w:rPr>
        <w:t>Специални предупреждения и предпазни мерки при употреба</w:t>
      </w:r>
    </w:p>
    <w:p w14:paraId="126FB4A6" w14:textId="77777777" w:rsidR="008B4595" w:rsidRPr="007D133E" w:rsidRDefault="008B4595" w:rsidP="000708FE">
      <w:pPr>
        <w:jc w:val="both"/>
      </w:pPr>
    </w:p>
    <w:p w14:paraId="126FB4A7" w14:textId="77777777" w:rsidR="007D77C0" w:rsidRPr="007D133E" w:rsidRDefault="007D77C0" w:rsidP="000708FE">
      <w:pPr>
        <w:jc w:val="both"/>
      </w:pPr>
      <w:r w:rsidRPr="007D133E">
        <w:t xml:space="preserve">СЕНСИЛУКС УНИМЕД ФАРМА трябва да се прилага внимателно при пациенти със сериозни сърдечно-съдови заболявания (например, нарушение на сърдечния ритъм, исхемична болест на сърцето, артериална хипертония, </w:t>
      </w:r>
      <w:proofErr w:type="spellStart"/>
      <w:r w:rsidRPr="007D133E">
        <w:t>феохромоцитома</w:t>
      </w:r>
      <w:proofErr w:type="spellEnd"/>
      <w:r w:rsidRPr="007D133E">
        <w:t>)</w:t>
      </w:r>
      <w:r w:rsidR="008B4595" w:rsidRPr="007D133E">
        <w:t xml:space="preserve">, </w:t>
      </w:r>
      <w:r w:rsidR="00EB53F1" w:rsidRPr="007D133E">
        <w:t xml:space="preserve">с </w:t>
      </w:r>
      <w:r w:rsidR="008B4595" w:rsidRPr="007D133E">
        <w:t xml:space="preserve">метаболитни дефекти (например диабет, </w:t>
      </w:r>
      <w:proofErr w:type="spellStart"/>
      <w:r w:rsidR="008B4595" w:rsidRPr="007D133E">
        <w:t>хипертиреоидоза</w:t>
      </w:r>
      <w:proofErr w:type="spellEnd"/>
      <w:r w:rsidR="008B4595" w:rsidRPr="007D133E">
        <w:t xml:space="preserve">), при пациенти, приемащи инхибитори на </w:t>
      </w:r>
      <w:proofErr w:type="spellStart"/>
      <w:r w:rsidR="008B4595" w:rsidRPr="007D133E">
        <w:t>моноаминооксидазата</w:t>
      </w:r>
      <w:proofErr w:type="spellEnd"/>
      <w:r w:rsidR="008B4595" w:rsidRPr="007D133E">
        <w:t xml:space="preserve"> (и до 14 дни след спиране на приема им, поради увеличен риск от </w:t>
      </w:r>
      <w:r w:rsidR="00AB4EC8" w:rsidRPr="007D133E">
        <w:t>повишаване</w:t>
      </w:r>
      <w:r w:rsidR="008B4595" w:rsidRPr="007D133E">
        <w:t xml:space="preserve"> на кръвното налягане), а също така и при пациенти, приемащи лекарствени продукти, които могат да повишат кръвното налягане. Пациентът трябва да бъде информиран, че продуктът е подходящ за лечение на умерено изразено дразнене на окото и ако до 2 дни болестните симптоми не се подобрят, или дори влошат, прилагането на продукта трябва да се преустанови и да се потърси лекарска помощ.</w:t>
      </w:r>
    </w:p>
    <w:p w14:paraId="126FB4A8" w14:textId="77777777" w:rsidR="008B4595" w:rsidRPr="007D133E" w:rsidRDefault="008B4595" w:rsidP="000708FE">
      <w:pPr>
        <w:jc w:val="both"/>
      </w:pPr>
      <w:r w:rsidRPr="007D133E">
        <w:t xml:space="preserve">По време на прилагането на продукта </w:t>
      </w:r>
      <w:r w:rsidR="00AB4EC8" w:rsidRPr="007D133E">
        <w:t>носенето</w:t>
      </w:r>
      <w:r w:rsidRPr="007D133E">
        <w:t xml:space="preserve"> на меки контактни лещи е забранено, тъй </w:t>
      </w:r>
      <w:r w:rsidR="00AB4EC8" w:rsidRPr="007D133E">
        <w:t>като</w:t>
      </w:r>
      <w:r w:rsidRPr="007D133E">
        <w:t xml:space="preserve"> </w:t>
      </w:r>
      <w:proofErr w:type="spellStart"/>
      <w:r w:rsidRPr="007D133E">
        <w:t>бензалкониевият</w:t>
      </w:r>
      <w:proofErr w:type="spellEnd"/>
      <w:r w:rsidRPr="007D133E">
        <w:t xml:space="preserve"> хлорид прониква през тях, отделя се от тях за продължително време и </w:t>
      </w:r>
      <w:r w:rsidR="006246C8" w:rsidRPr="007D133E">
        <w:t>м</w:t>
      </w:r>
      <w:r w:rsidR="006246C8" w:rsidRPr="007D133E">
        <w:rPr>
          <w:lang w:val="en-US"/>
        </w:rPr>
        <w:t>o</w:t>
      </w:r>
      <w:proofErr w:type="spellStart"/>
      <w:r w:rsidR="006246C8" w:rsidRPr="007D133E">
        <w:t>же</w:t>
      </w:r>
      <w:proofErr w:type="spellEnd"/>
      <w:r w:rsidR="006246C8" w:rsidRPr="007D133E">
        <w:t xml:space="preserve"> </w:t>
      </w:r>
      <w:r w:rsidRPr="007D133E">
        <w:t xml:space="preserve">да предизвика увреждане на </w:t>
      </w:r>
      <w:proofErr w:type="spellStart"/>
      <w:r w:rsidRPr="007D133E">
        <w:t>корнеята</w:t>
      </w:r>
      <w:proofErr w:type="spellEnd"/>
      <w:r w:rsidRPr="007D133E">
        <w:t xml:space="preserve">. При възможност, не трябва да се </w:t>
      </w:r>
      <w:r w:rsidR="00AB4EC8" w:rsidRPr="007D133E">
        <w:t>носят</w:t>
      </w:r>
      <w:r w:rsidRPr="007D133E">
        <w:t xml:space="preserve"> и твърди контактни лещи, най-малкото те трябва да се свалят винаги преди приложението на препарата и да се поставят обратно най-рано 20 минути след това.</w:t>
      </w:r>
    </w:p>
    <w:p w14:paraId="126FB4A9" w14:textId="77777777" w:rsidR="008B4595" w:rsidRPr="007D133E" w:rsidRDefault="008B4595" w:rsidP="000708FE">
      <w:pPr>
        <w:jc w:val="both"/>
      </w:pPr>
    </w:p>
    <w:p w14:paraId="126FB4AA" w14:textId="117EEACC" w:rsidR="008B4595" w:rsidRPr="007D133E" w:rsidRDefault="00C21D23" w:rsidP="000708FE">
      <w:pPr>
        <w:numPr>
          <w:ilvl w:val="1"/>
          <w:numId w:val="1"/>
        </w:numPr>
        <w:tabs>
          <w:tab w:val="clear" w:pos="705"/>
        </w:tabs>
        <w:ind w:left="540" w:hanging="540"/>
        <w:jc w:val="both"/>
        <w:rPr>
          <w:b/>
        </w:rPr>
      </w:pPr>
      <w:proofErr w:type="spellStart"/>
      <w:r w:rsidRPr="007D133E">
        <w:rPr>
          <w:b/>
        </w:rPr>
        <w:t>Взаимод</w:t>
      </w:r>
      <w:bookmarkStart w:id="1" w:name="_GoBack"/>
      <w:bookmarkEnd w:id="1"/>
      <w:r w:rsidRPr="007D133E">
        <w:rPr>
          <w:b/>
        </w:rPr>
        <w:t>ействи</w:t>
      </w:r>
      <w:proofErr w:type="spellEnd"/>
      <w:r>
        <w:rPr>
          <w:b/>
          <w:lang w:val="en-US"/>
        </w:rPr>
        <w:t>e</w:t>
      </w:r>
      <w:r w:rsidRPr="007D133E">
        <w:rPr>
          <w:b/>
        </w:rPr>
        <w:t xml:space="preserve"> </w:t>
      </w:r>
      <w:r w:rsidR="008B4595" w:rsidRPr="007D133E">
        <w:rPr>
          <w:b/>
        </w:rPr>
        <w:t>с други лекарствени продукти и други форми на взаимодействие</w:t>
      </w:r>
    </w:p>
    <w:p w14:paraId="126FB4AB" w14:textId="77777777" w:rsidR="008B4595" w:rsidRPr="007D133E" w:rsidRDefault="008B4595" w:rsidP="000708FE">
      <w:pPr>
        <w:jc w:val="both"/>
      </w:pPr>
    </w:p>
    <w:p w14:paraId="126FB4AC" w14:textId="77777777" w:rsidR="008B4595" w:rsidRPr="007D133E" w:rsidRDefault="008B4595" w:rsidP="000708FE">
      <w:pPr>
        <w:jc w:val="both"/>
      </w:pPr>
      <w:r w:rsidRPr="007D133E">
        <w:t xml:space="preserve">Едновременната употреба на инхибитори на </w:t>
      </w:r>
      <w:proofErr w:type="spellStart"/>
      <w:r w:rsidRPr="007D133E">
        <w:t>моноаминооксидазата</w:t>
      </w:r>
      <w:proofErr w:type="spellEnd"/>
      <w:r w:rsidRPr="007D133E">
        <w:t xml:space="preserve"> (някои антидепресанти и антипаркинсонови лекарствени продукти) може да доведе до засилване на някои </w:t>
      </w:r>
      <w:proofErr w:type="spellStart"/>
      <w:r w:rsidRPr="007D133E">
        <w:t>адренергични</w:t>
      </w:r>
      <w:proofErr w:type="spellEnd"/>
      <w:r w:rsidRPr="007D133E">
        <w:t xml:space="preserve"> реакции, главно повишаване н</w:t>
      </w:r>
      <w:r w:rsidR="00EB53F1" w:rsidRPr="007D133E">
        <w:t>а</w:t>
      </w:r>
      <w:r w:rsidRPr="007D133E">
        <w:t xml:space="preserve"> кръвното налягане.</w:t>
      </w:r>
    </w:p>
    <w:p w14:paraId="126FB4AD" w14:textId="77777777" w:rsidR="008B4595" w:rsidRPr="007D133E" w:rsidRDefault="008B4595" w:rsidP="000708FE">
      <w:pPr>
        <w:jc w:val="both"/>
      </w:pPr>
    </w:p>
    <w:p w14:paraId="126FB4AE" w14:textId="77777777" w:rsidR="008B4595" w:rsidRPr="007D133E" w:rsidRDefault="006246C8" w:rsidP="000708FE">
      <w:pPr>
        <w:numPr>
          <w:ilvl w:val="1"/>
          <w:numId w:val="1"/>
        </w:numPr>
        <w:tabs>
          <w:tab w:val="clear" w:pos="705"/>
          <w:tab w:val="num" w:pos="540"/>
        </w:tabs>
        <w:jc w:val="both"/>
        <w:rPr>
          <w:b/>
        </w:rPr>
      </w:pPr>
      <w:proofErr w:type="spellStart"/>
      <w:r w:rsidRPr="007D133E">
        <w:rPr>
          <w:b/>
        </w:rPr>
        <w:t>Фертилитет</w:t>
      </w:r>
      <w:proofErr w:type="spellEnd"/>
      <w:r w:rsidRPr="007D133E">
        <w:rPr>
          <w:b/>
        </w:rPr>
        <w:t>, б</w:t>
      </w:r>
      <w:r w:rsidR="008B4595" w:rsidRPr="007D133E">
        <w:rPr>
          <w:b/>
        </w:rPr>
        <w:t>ременност и кърмене</w:t>
      </w:r>
    </w:p>
    <w:p w14:paraId="126FB4AF" w14:textId="77777777" w:rsidR="006246C8" w:rsidRPr="007D133E" w:rsidRDefault="006246C8" w:rsidP="000708FE">
      <w:pPr>
        <w:jc w:val="both"/>
      </w:pPr>
    </w:p>
    <w:p w14:paraId="126FB4B0" w14:textId="77777777" w:rsidR="008B4595" w:rsidRPr="007D133E" w:rsidRDefault="008B4595" w:rsidP="000708FE">
      <w:pPr>
        <w:jc w:val="both"/>
      </w:pPr>
      <w:r w:rsidRPr="007D133E">
        <w:t>Контро</w:t>
      </w:r>
      <w:r w:rsidR="00EB53F1" w:rsidRPr="007D133E">
        <w:t>лирани изследвания</w:t>
      </w:r>
      <w:r w:rsidRPr="007D133E">
        <w:t xml:space="preserve"> </w:t>
      </w:r>
      <w:r w:rsidR="006246C8" w:rsidRPr="007D133E">
        <w:t xml:space="preserve">на </w:t>
      </w:r>
      <w:r w:rsidRPr="007D133E">
        <w:t>животни и бременни жени не са известни. Въз основа на този факт и във връзка с възможните нежелани системни реакции, продуктът може да се използва при бременни и кърмещи жени само въз основа на внимателна преценка на съотношението полза/риск</w:t>
      </w:r>
      <w:r w:rsidR="000F7AF4" w:rsidRPr="007D133E">
        <w:t>. Няма данни от проучвания за преминаването на продукта в майчиното мляко. Следователно, той не се препоръчва по време на кърмене.</w:t>
      </w:r>
    </w:p>
    <w:p w14:paraId="126FB4B1" w14:textId="77777777" w:rsidR="000F7AF4" w:rsidRPr="007D133E" w:rsidRDefault="000F7AF4" w:rsidP="000708FE">
      <w:pPr>
        <w:jc w:val="both"/>
      </w:pPr>
    </w:p>
    <w:p w14:paraId="126FB4B2" w14:textId="77777777" w:rsidR="000F7AF4" w:rsidRPr="007D133E" w:rsidRDefault="000F7AF4" w:rsidP="000708FE">
      <w:pPr>
        <w:numPr>
          <w:ilvl w:val="1"/>
          <w:numId w:val="1"/>
        </w:numPr>
        <w:tabs>
          <w:tab w:val="clear" w:pos="705"/>
          <w:tab w:val="num" w:pos="540"/>
        </w:tabs>
        <w:jc w:val="both"/>
        <w:rPr>
          <w:b/>
        </w:rPr>
      </w:pPr>
      <w:r w:rsidRPr="007D133E">
        <w:rPr>
          <w:b/>
        </w:rPr>
        <w:t>Ефекти върху способността за шофиране и работа с машини</w:t>
      </w:r>
    </w:p>
    <w:p w14:paraId="126FB4B3" w14:textId="77777777" w:rsidR="006246C8" w:rsidRPr="007D133E" w:rsidRDefault="006246C8" w:rsidP="000708FE">
      <w:pPr>
        <w:jc w:val="both"/>
      </w:pPr>
    </w:p>
    <w:p w14:paraId="126FB4B4" w14:textId="4D024D47" w:rsidR="000F7AF4" w:rsidRPr="007D133E" w:rsidRDefault="000F7AF4" w:rsidP="000708FE">
      <w:pPr>
        <w:jc w:val="both"/>
      </w:pPr>
      <w:r w:rsidRPr="007D133E">
        <w:t xml:space="preserve">СЕНСИЛУКС УНИМЕД ФАРМА много рядко може да причини </w:t>
      </w:r>
      <w:proofErr w:type="spellStart"/>
      <w:r w:rsidRPr="007D133E">
        <w:t>мидриаза</w:t>
      </w:r>
      <w:proofErr w:type="spellEnd"/>
      <w:r w:rsidRPr="007D133E">
        <w:t xml:space="preserve"> и нарушено зрение. В такива случаи </w:t>
      </w:r>
      <w:r w:rsidR="00887F80">
        <w:t xml:space="preserve">способността </w:t>
      </w:r>
      <w:r w:rsidR="00EB53F1" w:rsidRPr="002706B4">
        <w:t xml:space="preserve">за работа с машини, </w:t>
      </w:r>
      <w:r w:rsidR="00C43E02">
        <w:t xml:space="preserve">работа </w:t>
      </w:r>
      <w:r w:rsidR="00EB53F1" w:rsidRPr="002706B4">
        <w:t>на голяма височина и шофиране ще бъде нарушена</w:t>
      </w:r>
      <w:r w:rsidRPr="007D133E">
        <w:t>.</w:t>
      </w:r>
    </w:p>
    <w:p w14:paraId="126FB4B5" w14:textId="77777777" w:rsidR="000F7AF4" w:rsidRPr="007D133E" w:rsidRDefault="000F7AF4" w:rsidP="000708FE">
      <w:pPr>
        <w:jc w:val="both"/>
      </w:pPr>
    </w:p>
    <w:p w14:paraId="126FB4B6" w14:textId="77777777" w:rsidR="000F7AF4" w:rsidRPr="007D133E" w:rsidRDefault="000F7AF4" w:rsidP="000708FE">
      <w:pPr>
        <w:numPr>
          <w:ilvl w:val="1"/>
          <w:numId w:val="1"/>
        </w:numPr>
        <w:tabs>
          <w:tab w:val="clear" w:pos="705"/>
          <w:tab w:val="num" w:pos="540"/>
        </w:tabs>
        <w:jc w:val="both"/>
        <w:rPr>
          <w:b/>
        </w:rPr>
      </w:pPr>
      <w:r w:rsidRPr="007D133E">
        <w:rPr>
          <w:b/>
        </w:rPr>
        <w:t xml:space="preserve">Нежелани лекарствени </w:t>
      </w:r>
      <w:r w:rsidR="00AB4EC8" w:rsidRPr="007D133E">
        <w:rPr>
          <w:b/>
        </w:rPr>
        <w:t>реакции</w:t>
      </w:r>
    </w:p>
    <w:p w14:paraId="126FB4B7" w14:textId="77777777" w:rsidR="006246C8" w:rsidRPr="007D133E" w:rsidRDefault="006246C8" w:rsidP="000708FE">
      <w:pPr>
        <w:jc w:val="both"/>
      </w:pPr>
    </w:p>
    <w:p w14:paraId="126FB4B8" w14:textId="77777777" w:rsidR="000F7AF4" w:rsidRPr="007D133E" w:rsidRDefault="000F7AF4" w:rsidP="000708FE">
      <w:pPr>
        <w:jc w:val="both"/>
      </w:pPr>
      <w:r w:rsidRPr="007D133E">
        <w:t xml:space="preserve">В случаи на продължително прилагане на СЕНСИЛУКС УНИМЕД ФАРМА могат да се наблюдават реактивна </w:t>
      </w:r>
      <w:proofErr w:type="spellStart"/>
      <w:r w:rsidRPr="007D133E">
        <w:t>хиперемия</w:t>
      </w:r>
      <w:proofErr w:type="spellEnd"/>
      <w:r w:rsidRPr="007D133E">
        <w:t xml:space="preserve">, дразнене, възпаление на </w:t>
      </w:r>
      <w:proofErr w:type="spellStart"/>
      <w:r w:rsidRPr="007D133E">
        <w:t>конюнктивата</w:t>
      </w:r>
      <w:proofErr w:type="spellEnd"/>
      <w:r w:rsidRPr="007D133E">
        <w:t xml:space="preserve">, сърбеж и парене на очите. Рядко могат да се наблюдават </w:t>
      </w:r>
      <w:proofErr w:type="spellStart"/>
      <w:r w:rsidRPr="007D133E">
        <w:t>мидриаза</w:t>
      </w:r>
      <w:proofErr w:type="spellEnd"/>
      <w:r w:rsidRPr="007D133E">
        <w:t xml:space="preserve">, нарушено зрение или </w:t>
      </w:r>
      <w:r w:rsidR="00AB4EC8" w:rsidRPr="007D133E">
        <w:t>реакция</w:t>
      </w:r>
      <w:r w:rsidRPr="007D133E">
        <w:t xml:space="preserve"> на свръхчувствителност</w:t>
      </w:r>
      <w:r w:rsidR="00241928" w:rsidRPr="007D133E">
        <w:t>.</w:t>
      </w:r>
    </w:p>
    <w:p w14:paraId="126FB4B9" w14:textId="77777777" w:rsidR="006246C8" w:rsidRPr="007D133E" w:rsidRDefault="00241928" w:rsidP="000708FE">
      <w:pPr>
        <w:jc w:val="both"/>
      </w:pPr>
      <w:r w:rsidRPr="007D133E">
        <w:t xml:space="preserve">Появата на системни нежелани реакции, дължащи се на възбуждане на </w:t>
      </w:r>
      <w:proofErr w:type="spellStart"/>
      <w:r w:rsidRPr="007D133E">
        <w:t>симпатикусовата</w:t>
      </w:r>
      <w:proofErr w:type="spellEnd"/>
      <w:r w:rsidRPr="007D133E">
        <w:t xml:space="preserve"> нервна система  (сърдечна аритмия, хипертония, нарушение на дишането, световъртеж, главоболие, безсъние, нервност и др.) </w:t>
      </w:r>
      <w:r w:rsidR="00BF189D" w:rsidRPr="007D133E">
        <w:t xml:space="preserve"> </w:t>
      </w:r>
      <w:r w:rsidRPr="007D133E">
        <w:t xml:space="preserve">e много рядка и е възможна главно </w:t>
      </w:r>
      <w:r w:rsidR="00C02190" w:rsidRPr="002706B4">
        <w:t>неправилна употреба или употреба на по-високи дози</w:t>
      </w:r>
      <w:r w:rsidRPr="007D133E">
        <w:t>.</w:t>
      </w:r>
    </w:p>
    <w:p w14:paraId="126FB4BA" w14:textId="77777777" w:rsidR="007D133E" w:rsidRDefault="007D133E" w:rsidP="006246C8">
      <w:pPr>
        <w:tabs>
          <w:tab w:val="left" w:pos="720"/>
        </w:tabs>
        <w:rPr>
          <w:noProof/>
          <w:u w:val="single"/>
          <w:lang w:eastAsia="en-US"/>
        </w:rPr>
      </w:pPr>
    </w:p>
    <w:p w14:paraId="126FB4BB" w14:textId="77777777" w:rsidR="006246C8" w:rsidRPr="002706B4" w:rsidRDefault="006246C8" w:rsidP="006246C8">
      <w:pPr>
        <w:tabs>
          <w:tab w:val="left" w:pos="720"/>
        </w:tabs>
        <w:rPr>
          <w:u w:val="single"/>
          <w:lang w:eastAsia="en-US"/>
        </w:rPr>
      </w:pPr>
      <w:r w:rsidRPr="002706B4">
        <w:rPr>
          <w:noProof/>
          <w:u w:val="single"/>
          <w:lang w:eastAsia="en-US"/>
        </w:rPr>
        <w:t>Съобщаване на подозирани нежелани реакции</w:t>
      </w:r>
    </w:p>
    <w:p w14:paraId="126FB4BC" w14:textId="77777777" w:rsidR="006246C8" w:rsidRPr="007D133E" w:rsidRDefault="006246C8" w:rsidP="002706B4">
      <w:pPr>
        <w:tabs>
          <w:tab w:val="left" w:pos="720"/>
        </w:tabs>
        <w:rPr>
          <w:noProof/>
          <w:lang w:eastAsia="en-US"/>
        </w:rPr>
      </w:pPr>
      <w:r w:rsidRPr="002706B4">
        <w:rPr>
          <w:noProof/>
          <w:lang w:eastAsia="en-US"/>
        </w:rPr>
        <w:t>Съобщаването на подозирани нежелани реакции след разрешаване за употреба на лекарствения продукт е важно.</w:t>
      </w:r>
      <w:r w:rsidRPr="002706B4">
        <w:rPr>
          <w:lang w:eastAsia="en-US"/>
        </w:rPr>
        <w:t xml:space="preserve"> </w:t>
      </w:r>
      <w:r w:rsidRPr="002706B4">
        <w:rPr>
          <w:noProof/>
          <w:lang w:eastAsia="en-US"/>
        </w:rPr>
        <w:t>Това позволява да продължи наблюдението на съотношението полза/риск за лекарствения продукт.</w:t>
      </w:r>
      <w:r w:rsidRPr="002706B4">
        <w:rPr>
          <w:lang w:eastAsia="en-US"/>
        </w:rPr>
        <w:t xml:space="preserve"> </w:t>
      </w:r>
      <w:r w:rsidRPr="002706B4">
        <w:rPr>
          <w:noProof/>
          <w:lang w:eastAsia="en-US"/>
        </w:rPr>
        <w:t>От медицинските специалисти се изисква да съобщават всяка подозирана нежелана реакция чрез</w:t>
      </w:r>
      <w:r w:rsidRPr="007D133E">
        <w:rPr>
          <w:noProof/>
          <w:lang w:eastAsia="en-US"/>
        </w:rPr>
        <w:t>:</w:t>
      </w:r>
    </w:p>
    <w:p w14:paraId="126FB4BD" w14:textId="77777777" w:rsidR="006246C8" w:rsidRPr="007D133E" w:rsidRDefault="006246C8" w:rsidP="006246C8">
      <w:r w:rsidRPr="007D133E">
        <w:t xml:space="preserve">Изпълнителна агенция по лекарствата </w:t>
      </w:r>
    </w:p>
    <w:p w14:paraId="126FB4BE" w14:textId="77777777" w:rsidR="006246C8" w:rsidRPr="002706B4" w:rsidRDefault="006246C8" w:rsidP="002706B4">
      <w:pPr>
        <w:tabs>
          <w:tab w:val="left" w:pos="720"/>
        </w:tabs>
        <w:rPr>
          <w:noProof/>
          <w:lang w:eastAsia="en-US"/>
        </w:rPr>
      </w:pPr>
      <w:r w:rsidRPr="002706B4">
        <w:rPr>
          <w:noProof/>
          <w:lang w:eastAsia="en-US"/>
        </w:rPr>
        <w:t xml:space="preserve">ул. „Дамян Груев” № 8 </w:t>
      </w:r>
    </w:p>
    <w:p w14:paraId="126FB4BF" w14:textId="77777777" w:rsidR="006246C8" w:rsidRPr="002706B4" w:rsidRDefault="006246C8" w:rsidP="002706B4">
      <w:pPr>
        <w:tabs>
          <w:tab w:val="left" w:pos="720"/>
        </w:tabs>
        <w:rPr>
          <w:noProof/>
          <w:lang w:eastAsia="en-US"/>
        </w:rPr>
      </w:pPr>
      <w:r w:rsidRPr="002706B4">
        <w:rPr>
          <w:noProof/>
          <w:lang w:eastAsia="en-US"/>
        </w:rPr>
        <w:t xml:space="preserve">1303 София </w:t>
      </w:r>
    </w:p>
    <w:p w14:paraId="126FB4C0" w14:textId="77777777" w:rsidR="006246C8" w:rsidRPr="002706B4" w:rsidRDefault="006246C8" w:rsidP="002706B4">
      <w:pPr>
        <w:tabs>
          <w:tab w:val="left" w:pos="720"/>
        </w:tabs>
        <w:rPr>
          <w:noProof/>
          <w:lang w:eastAsia="en-US"/>
        </w:rPr>
      </w:pPr>
      <w:r w:rsidRPr="002706B4">
        <w:rPr>
          <w:noProof/>
          <w:lang w:eastAsia="en-US"/>
        </w:rPr>
        <w:t>Teл.: +35 928903417</w:t>
      </w:r>
    </w:p>
    <w:p w14:paraId="126FB4C1" w14:textId="77777777" w:rsidR="007D133E" w:rsidRDefault="006246C8" w:rsidP="002706B4">
      <w:pPr>
        <w:tabs>
          <w:tab w:val="left" w:pos="720"/>
        </w:tabs>
        <w:rPr>
          <w:noProof/>
          <w:lang w:eastAsia="en-US"/>
        </w:rPr>
      </w:pPr>
      <w:r w:rsidRPr="002706B4">
        <w:rPr>
          <w:noProof/>
          <w:lang w:eastAsia="en-US"/>
        </w:rPr>
        <w:t xml:space="preserve">уебсайт: </w:t>
      </w:r>
      <w:hyperlink r:id="rId7" w:history="1">
        <w:r w:rsidRPr="002706B4">
          <w:t>www.bda.bg</w:t>
        </w:r>
      </w:hyperlink>
      <w:r w:rsidRPr="002706B4">
        <w:rPr>
          <w:noProof/>
          <w:lang w:eastAsia="en-US"/>
        </w:rPr>
        <w:t xml:space="preserve"> </w:t>
      </w:r>
      <w:r w:rsidRPr="007D133E">
        <w:rPr>
          <w:noProof/>
          <w:lang w:eastAsia="en-US"/>
        </w:rPr>
        <w:t xml:space="preserve"> </w:t>
      </w:r>
    </w:p>
    <w:p w14:paraId="126FB4C2" w14:textId="77777777" w:rsidR="00241928" w:rsidRPr="007D133E" w:rsidRDefault="00241928" w:rsidP="002706B4">
      <w:pPr>
        <w:tabs>
          <w:tab w:val="left" w:pos="720"/>
        </w:tabs>
        <w:rPr>
          <w:b/>
        </w:rPr>
      </w:pPr>
    </w:p>
    <w:p w14:paraId="126FB4C3" w14:textId="77777777" w:rsidR="00241928" w:rsidRPr="007D133E" w:rsidRDefault="00241928" w:rsidP="000708FE">
      <w:pPr>
        <w:numPr>
          <w:ilvl w:val="1"/>
          <w:numId w:val="1"/>
        </w:numPr>
        <w:tabs>
          <w:tab w:val="clear" w:pos="705"/>
          <w:tab w:val="num" w:pos="540"/>
        </w:tabs>
        <w:jc w:val="both"/>
        <w:rPr>
          <w:b/>
        </w:rPr>
      </w:pPr>
      <w:r w:rsidRPr="007D133E">
        <w:rPr>
          <w:b/>
        </w:rPr>
        <w:t>Предозиране</w:t>
      </w:r>
    </w:p>
    <w:p w14:paraId="126FB4C4" w14:textId="77777777" w:rsidR="006246C8" w:rsidRPr="007D133E" w:rsidRDefault="006246C8" w:rsidP="000708FE">
      <w:pPr>
        <w:jc w:val="both"/>
      </w:pPr>
    </w:p>
    <w:p w14:paraId="126FB4C5" w14:textId="77777777" w:rsidR="00241928" w:rsidRPr="007D133E" w:rsidRDefault="00241928" w:rsidP="000708FE">
      <w:pPr>
        <w:jc w:val="both"/>
      </w:pPr>
      <w:r w:rsidRPr="007D133E">
        <w:t xml:space="preserve">При деца до 2 годишна възраст рискът от предозиране е много голям, особено ако </w:t>
      </w:r>
      <w:r w:rsidR="00A215D0" w:rsidRPr="007D133E">
        <w:t xml:space="preserve">лекарственият продукт </w:t>
      </w:r>
      <w:r w:rsidRPr="007D133E">
        <w:t xml:space="preserve">се погълне неволно. Симптомите на предозиране са от страна на централната нервна система (летаргия, сънливост или възбуда), промени в кръвното налягане и телесната температура, нерегулярна сърдечна дейност, брадикардия и промени в съзнанието. Ако пациентът е в съзнание, трябва изкуствено да се предизвика повръщане. Ако това е невъзможно, се препоръчва стомашна промивка. Няма известен антидот на </w:t>
      </w:r>
      <w:proofErr w:type="spellStart"/>
      <w:r w:rsidRPr="007D133E">
        <w:t>тетризолина</w:t>
      </w:r>
      <w:proofErr w:type="spellEnd"/>
      <w:r w:rsidRPr="007D133E">
        <w:t>.</w:t>
      </w:r>
    </w:p>
    <w:p w14:paraId="126FB4C6" w14:textId="77777777" w:rsidR="00241928" w:rsidRPr="007D133E" w:rsidRDefault="00241928" w:rsidP="000708FE">
      <w:pPr>
        <w:jc w:val="both"/>
      </w:pPr>
    </w:p>
    <w:p w14:paraId="126FB4C7" w14:textId="77777777" w:rsidR="00241928" w:rsidRPr="007D133E" w:rsidRDefault="00241928" w:rsidP="000708FE">
      <w:pPr>
        <w:jc w:val="both"/>
        <w:rPr>
          <w:b/>
        </w:rPr>
      </w:pPr>
    </w:p>
    <w:p w14:paraId="126FB4C8" w14:textId="77777777" w:rsidR="00241928" w:rsidRPr="007D133E" w:rsidRDefault="00241928" w:rsidP="000708FE">
      <w:pPr>
        <w:tabs>
          <w:tab w:val="left" w:pos="540"/>
        </w:tabs>
        <w:jc w:val="both"/>
        <w:rPr>
          <w:b/>
        </w:rPr>
      </w:pPr>
      <w:r w:rsidRPr="007D133E">
        <w:rPr>
          <w:b/>
        </w:rPr>
        <w:t>5.</w:t>
      </w:r>
      <w:r w:rsidRPr="007D133E">
        <w:rPr>
          <w:b/>
        </w:rPr>
        <w:tab/>
        <w:t>ФАРМАКОЛОГИЧНИ СВОЙСТВА</w:t>
      </w:r>
    </w:p>
    <w:p w14:paraId="126FB4C9" w14:textId="77777777" w:rsidR="00241928" w:rsidRPr="007D133E" w:rsidRDefault="00241928" w:rsidP="000708FE">
      <w:pPr>
        <w:jc w:val="both"/>
        <w:rPr>
          <w:b/>
        </w:rPr>
      </w:pPr>
    </w:p>
    <w:p w14:paraId="126FB4CA" w14:textId="77777777" w:rsidR="00241928" w:rsidRPr="007D133E" w:rsidRDefault="00241928" w:rsidP="000708FE">
      <w:pPr>
        <w:jc w:val="both"/>
        <w:rPr>
          <w:b/>
        </w:rPr>
      </w:pPr>
      <w:r w:rsidRPr="007D133E">
        <w:rPr>
          <w:b/>
        </w:rPr>
        <w:t>5.1</w:t>
      </w:r>
      <w:r w:rsidRPr="007D133E">
        <w:rPr>
          <w:b/>
        </w:rPr>
        <w:tab/>
      </w:r>
      <w:proofErr w:type="spellStart"/>
      <w:r w:rsidRPr="007D133E">
        <w:rPr>
          <w:b/>
        </w:rPr>
        <w:t>Фармакодинамични</w:t>
      </w:r>
      <w:proofErr w:type="spellEnd"/>
      <w:r w:rsidRPr="007D133E">
        <w:rPr>
          <w:b/>
        </w:rPr>
        <w:t xml:space="preserve"> свойства</w:t>
      </w:r>
    </w:p>
    <w:p w14:paraId="126FB4CB" w14:textId="77777777" w:rsidR="006246C8" w:rsidRPr="007D133E" w:rsidRDefault="006246C8" w:rsidP="000708FE">
      <w:pPr>
        <w:jc w:val="both"/>
      </w:pPr>
    </w:p>
    <w:p w14:paraId="126FB4CC" w14:textId="77777777" w:rsidR="00241928" w:rsidRPr="007D133E" w:rsidRDefault="00241928" w:rsidP="000708FE">
      <w:pPr>
        <w:jc w:val="both"/>
      </w:pPr>
      <w:proofErr w:type="spellStart"/>
      <w:r w:rsidRPr="007D133E">
        <w:t>Фармакотерапевтична</w:t>
      </w:r>
      <w:proofErr w:type="spellEnd"/>
      <w:r w:rsidRPr="007D133E">
        <w:t xml:space="preserve"> група: </w:t>
      </w:r>
      <w:proofErr w:type="spellStart"/>
      <w:r w:rsidRPr="007D133E">
        <w:t>Офталмологични</w:t>
      </w:r>
      <w:proofErr w:type="spellEnd"/>
      <w:r w:rsidRPr="007D133E">
        <w:t xml:space="preserve"> препарати</w:t>
      </w:r>
    </w:p>
    <w:p w14:paraId="126FB4CD" w14:textId="77777777" w:rsidR="00241928" w:rsidRPr="007D133E" w:rsidRDefault="00241928" w:rsidP="000708FE">
      <w:pPr>
        <w:jc w:val="both"/>
      </w:pPr>
      <w:r w:rsidRPr="007D133E">
        <w:t>АТС код: S01GA02 (</w:t>
      </w:r>
      <w:proofErr w:type="spellStart"/>
      <w:r w:rsidR="00AB4EC8" w:rsidRPr="007D133E">
        <w:t>tetryz</w:t>
      </w:r>
      <w:proofErr w:type="spellEnd"/>
      <w:r w:rsidR="00AB4EC8" w:rsidRPr="007D133E">
        <w:rPr>
          <w:lang w:val="en-US"/>
        </w:rPr>
        <w:t>o</w:t>
      </w:r>
      <w:r w:rsidR="00AB4EC8" w:rsidRPr="007D133E">
        <w:t>l</w:t>
      </w:r>
      <w:proofErr w:type="spellStart"/>
      <w:r w:rsidR="00AB4EC8" w:rsidRPr="007D133E">
        <w:rPr>
          <w:lang w:val="en-US"/>
        </w:rPr>
        <w:t>i</w:t>
      </w:r>
      <w:r w:rsidR="00AB4EC8" w:rsidRPr="007D133E">
        <w:t>ne</w:t>
      </w:r>
      <w:proofErr w:type="spellEnd"/>
      <w:r w:rsidRPr="007D133E">
        <w:t>)</w:t>
      </w:r>
    </w:p>
    <w:p w14:paraId="126FB4CE" w14:textId="77777777" w:rsidR="006246C8" w:rsidRPr="007D133E" w:rsidRDefault="006246C8" w:rsidP="000708FE">
      <w:pPr>
        <w:jc w:val="both"/>
      </w:pPr>
    </w:p>
    <w:p w14:paraId="126FB4CF" w14:textId="77777777" w:rsidR="00241928" w:rsidRPr="007D133E" w:rsidRDefault="00241928" w:rsidP="000708FE">
      <w:pPr>
        <w:jc w:val="both"/>
      </w:pPr>
      <w:proofErr w:type="spellStart"/>
      <w:r w:rsidRPr="007D133E">
        <w:t>Тетризолин</w:t>
      </w:r>
      <w:proofErr w:type="spellEnd"/>
      <w:r w:rsidRPr="007D133E">
        <w:t xml:space="preserve"> е </w:t>
      </w:r>
      <w:proofErr w:type="spellStart"/>
      <w:r w:rsidRPr="007D133E">
        <w:t>имидазолов</w:t>
      </w:r>
      <w:proofErr w:type="spellEnd"/>
      <w:r w:rsidRPr="007D133E">
        <w:t xml:space="preserve"> </w:t>
      </w:r>
      <w:proofErr w:type="spellStart"/>
      <w:r w:rsidRPr="007D133E">
        <w:t>симпатикомиметик</w:t>
      </w:r>
      <w:proofErr w:type="spellEnd"/>
      <w:r w:rsidRPr="007D133E">
        <w:t>, директно стимулиращ α1</w:t>
      </w:r>
      <w:r w:rsidR="009B360E" w:rsidRPr="007D133E">
        <w:t>-</w:t>
      </w:r>
      <w:r w:rsidR="00AB4EC8" w:rsidRPr="007D133E">
        <w:t>адренергичните</w:t>
      </w:r>
      <w:r w:rsidR="009B360E" w:rsidRPr="007D133E">
        <w:t xml:space="preserve"> рецептори. Той изобщо не повлиява или </w:t>
      </w:r>
      <w:r w:rsidR="007D133E">
        <w:t xml:space="preserve">повлиява </w:t>
      </w:r>
      <w:r w:rsidR="009B360E" w:rsidRPr="007D133E">
        <w:t>в много слаба степен β-</w:t>
      </w:r>
      <w:proofErr w:type="spellStart"/>
      <w:r w:rsidR="009B360E" w:rsidRPr="007D133E">
        <w:t>адренергичните</w:t>
      </w:r>
      <w:proofErr w:type="spellEnd"/>
      <w:r w:rsidR="009B360E" w:rsidRPr="007D133E">
        <w:t xml:space="preserve"> рецептори. След прилагане в </w:t>
      </w:r>
      <w:proofErr w:type="spellStart"/>
      <w:r w:rsidR="009B360E" w:rsidRPr="007D133E">
        <w:t>конюнктивалната</w:t>
      </w:r>
      <w:proofErr w:type="spellEnd"/>
      <w:r w:rsidR="009B360E" w:rsidRPr="007D133E">
        <w:t xml:space="preserve"> торбичка, </w:t>
      </w:r>
      <w:proofErr w:type="spellStart"/>
      <w:r w:rsidR="009B360E" w:rsidRPr="007D133E">
        <w:t>тетризолин</w:t>
      </w:r>
      <w:proofErr w:type="spellEnd"/>
      <w:r w:rsidR="009B360E" w:rsidRPr="007D133E">
        <w:t xml:space="preserve"> оказва </w:t>
      </w:r>
      <w:proofErr w:type="spellStart"/>
      <w:r w:rsidR="00AB4EC8" w:rsidRPr="007D133E">
        <w:t>съдосвиващо</w:t>
      </w:r>
      <w:proofErr w:type="spellEnd"/>
      <w:r w:rsidR="009B360E" w:rsidRPr="007D133E">
        <w:t xml:space="preserve"> и </w:t>
      </w:r>
      <w:proofErr w:type="spellStart"/>
      <w:r w:rsidR="009B360E" w:rsidRPr="007D133E">
        <w:t>антихиперемично</w:t>
      </w:r>
      <w:proofErr w:type="spellEnd"/>
      <w:r w:rsidR="009B360E" w:rsidRPr="007D133E">
        <w:t xml:space="preserve"> действие върху </w:t>
      </w:r>
      <w:proofErr w:type="spellStart"/>
      <w:r w:rsidR="009B360E" w:rsidRPr="007D133E">
        <w:t>мукозата</w:t>
      </w:r>
      <w:proofErr w:type="spellEnd"/>
      <w:r w:rsidR="009B360E" w:rsidRPr="007D133E">
        <w:t xml:space="preserve">. </w:t>
      </w:r>
      <w:r w:rsidR="00AB4EC8" w:rsidRPr="007D133E">
        <w:t xml:space="preserve">Главното предимство на </w:t>
      </w:r>
      <w:proofErr w:type="spellStart"/>
      <w:r w:rsidR="00AB4EC8" w:rsidRPr="007D133E">
        <w:t>тетризолин</w:t>
      </w:r>
      <w:proofErr w:type="spellEnd"/>
      <w:r w:rsidR="00AB4EC8" w:rsidRPr="007D133E">
        <w:t xml:space="preserve"> в сравнение с другите </w:t>
      </w:r>
      <w:proofErr w:type="spellStart"/>
      <w:r w:rsidR="00AB4EC8" w:rsidRPr="007D133E">
        <w:t>съдосвиващи</w:t>
      </w:r>
      <w:proofErr w:type="spellEnd"/>
      <w:r w:rsidR="00AB4EC8" w:rsidRPr="007D133E">
        <w:t xml:space="preserve"> лекарства, които много често предизвикват </w:t>
      </w:r>
      <w:proofErr w:type="spellStart"/>
      <w:r w:rsidR="00AB4EC8" w:rsidRPr="007D133E">
        <w:t>мидриаза</w:t>
      </w:r>
      <w:proofErr w:type="spellEnd"/>
      <w:r w:rsidR="00AB4EC8" w:rsidRPr="007D133E">
        <w:t>, е че при неговото прилагане практически не се наблюдава разширение на зениците.</w:t>
      </w:r>
    </w:p>
    <w:p w14:paraId="126FB4D0" w14:textId="77777777" w:rsidR="009B360E" w:rsidRPr="007D133E" w:rsidRDefault="009B360E" w:rsidP="000708FE">
      <w:pPr>
        <w:jc w:val="both"/>
      </w:pPr>
      <w:r w:rsidRPr="007D133E">
        <w:t xml:space="preserve">СЕНСИЛУКС УНИМЕД ФАРМА съдържа субстанция от природен произход: </w:t>
      </w:r>
      <w:proofErr w:type="spellStart"/>
      <w:r w:rsidRPr="007D133E">
        <w:t>биофлавонид</w:t>
      </w:r>
      <w:proofErr w:type="spellEnd"/>
      <w:r w:rsidRPr="007D133E">
        <w:t xml:space="preserve"> – </w:t>
      </w:r>
      <w:proofErr w:type="spellStart"/>
      <w:r w:rsidRPr="007D133E">
        <w:t>рутин</w:t>
      </w:r>
      <w:proofErr w:type="spellEnd"/>
      <w:r w:rsidRPr="007D133E">
        <w:t xml:space="preserve"> (</w:t>
      </w:r>
      <w:proofErr w:type="spellStart"/>
      <w:r w:rsidRPr="007D133E">
        <w:t>рутозид</w:t>
      </w:r>
      <w:proofErr w:type="spellEnd"/>
      <w:r w:rsidRPr="007D133E">
        <w:t xml:space="preserve">) 0,1 </w:t>
      </w:r>
      <w:proofErr w:type="spellStart"/>
      <w:r w:rsidRPr="007D133E">
        <w:t>mg</w:t>
      </w:r>
      <w:proofErr w:type="spellEnd"/>
      <w:r w:rsidRPr="007D133E">
        <w:t xml:space="preserve"> в 1 ml. </w:t>
      </w:r>
      <w:proofErr w:type="spellStart"/>
      <w:r w:rsidRPr="007D133E">
        <w:t>Рутинът</w:t>
      </w:r>
      <w:proofErr w:type="spellEnd"/>
      <w:r w:rsidRPr="007D133E">
        <w:t xml:space="preserve"> намалява патологично повишения съдов и клетъчен </w:t>
      </w:r>
      <w:proofErr w:type="spellStart"/>
      <w:r w:rsidRPr="007D133E">
        <w:t>пермеабилитет</w:t>
      </w:r>
      <w:proofErr w:type="spellEnd"/>
      <w:r w:rsidRPr="007D133E">
        <w:t>, намалява чупливостта на кръвоносните съдове и повишава капилярната резистентност и действа анти-</w:t>
      </w:r>
      <w:proofErr w:type="spellStart"/>
      <w:r w:rsidRPr="007D133E">
        <w:t>едематозно</w:t>
      </w:r>
      <w:proofErr w:type="spellEnd"/>
      <w:r w:rsidRPr="007D133E">
        <w:t xml:space="preserve">. В продукта </w:t>
      </w:r>
      <w:proofErr w:type="spellStart"/>
      <w:r w:rsidRPr="007D133E">
        <w:lastRenderedPageBreak/>
        <w:t>тетризолин</w:t>
      </w:r>
      <w:proofErr w:type="spellEnd"/>
      <w:r w:rsidRPr="007D133E">
        <w:t xml:space="preserve"> действа като </w:t>
      </w:r>
      <w:proofErr w:type="spellStart"/>
      <w:r w:rsidRPr="007D133E">
        <w:t>антихиперемичен</w:t>
      </w:r>
      <w:proofErr w:type="spellEnd"/>
      <w:r w:rsidRPr="007D133E">
        <w:t xml:space="preserve"> компонент, а помощното вещество </w:t>
      </w:r>
      <w:proofErr w:type="spellStart"/>
      <w:r w:rsidRPr="007D133E">
        <w:t>рутин</w:t>
      </w:r>
      <w:proofErr w:type="spellEnd"/>
      <w:r w:rsidRPr="007D133E">
        <w:t xml:space="preserve"> допълва този негов ефект.</w:t>
      </w:r>
    </w:p>
    <w:p w14:paraId="126FB4D1" w14:textId="77777777" w:rsidR="009B360E" w:rsidRPr="007D133E" w:rsidRDefault="009B360E" w:rsidP="000708FE">
      <w:pPr>
        <w:jc w:val="both"/>
      </w:pPr>
    </w:p>
    <w:p w14:paraId="126FB4D2" w14:textId="77777777" w:rsidR="009B360E" w:rsidRPr="007D133E" w:rsidRDefault="009B360E" w:rsidP="000708FE">
      <w:pPr>
        <w:tabs>
          <w:tab w:val="left" w:pos="540"/>
        </w:tabs>
        <w:jc w:val="both"/>
        <w:rPr>
          <w:b/>
        </w:rPr>
      </w:pPr>
      <w:r w:rsidRPr="007D133E">
        <w:rPr>
          <w:b/>
        </w:rPr>
        <w:t>5.2</w:t>
      </w:r>
      <w:r w:rsidRPr="007D133E">
        <w:rPr>
          <w:b/>
        </w:rPr>
        <w:tab/>
      </w:r>
      <w:proofErr w:type="spellStart"/>
      <w:r w:rsidRPr="007D133E">
        <w:rPr>
          <w:b/>
        </w:rPr>
        <w:t>Фармакокинетични</w:t>
      </w:r>
      <w:proofErr w:type="spellEnd"/>
      <w:r w:rsidRPr="007D133E">
        <w:rPr>
          <w:b/>
        </w:rPr>
        <w:t xml:space="preserve"> свойства</w:t>
      </w:r>
    </w:p>
    <w:p w14:paraId="126FB4D3" w14:textId="77777777" w:rsidR="006246C8" w:rsidRPr="007D133E" w:rsidRDefault="006246C8" w:rsidP="000708FE">
      <w:pPr>
        <w:jc w:val="both"/>
      </w:pPr>
    </w:p>
    <w:p w14:paraId="126FB4D4" w14:textId="77777777" w:rsidR="009B360E" w:rsidRPr="007D133E" w:rsidRDefault="009B360E" w:rsidP="000708FE">
      <w:pPr>
        <w:jc w:val="both"/>
      </w:pPr>
      <w:r w:rsidRPr="007D133E">
        <w:t xml:space="preserve">След прилагане на </w:t>
      </w:r>
      <w:proofErr w:type="spellStart"/>
      <w:r w:rsidRPr="007D133E">
        <w:t>тетризолин</w:t>
      </w:r>
      <w:proofErr w:type="spellEnd"/>
      <w:r w:rsidRPr="007D133E">
        <w:t xml:space="preserve"> в </w:t>
      </w:r>
      <w:proofErr w:type="spellStart"/>
      <w:r w:rsidRPr="007D133E">
        <w:t>конюнктивалната</w:t>
      </w:r>
      <w:proofErr w:type="spellEnd"/>
      <w:r w:rsidRPr="007D133E">
        <w:t xml:space="preserve"> торбичка, локалната </w:t>
      </w:r>
      <w:proofErr w:type="spellStart"/>
      <w:r w:rsidRPr="007D133E">
        <w:t>вазоконстрикция</w:t>
      </w:r>
      <w:proofErr w:type="spellEnd"/>
      <w:r w:rsidRPr="007D133E">
        <w:t xml:space="preserve"> започва още след 1 минута и е с продължителност 4 до 8 часа. При условие, че препаратът се прилага според предвиденото дозиране, системна абсорбция на </w:t>
      </w:r>
      <w:proofErr w:type="spellStart"/>
      <w:r w:rsidRPr="007D133E">
        <w:t>тетризолин</w:t>
      </w:r>
      <w:proofErr w:type="spellEnd"/>
      <w:r w:rsidRPr="007D133E">
        <w:t xml:space="preserve"> практически не би трябвало </w:t>
      </w:r>
      <w:r w:rsidR="00AB4EC8" w:rsidRPr="007D133E">
        <w:t>да</w:t>
      </w:r>
      <w:r w:rsidRPr="007D133E">
        <w:t xml:space="preserve"> се наблюдава.</w:t>
      </w:r>
    </w:p>
    <w:p w14:paraId="126FB4D5" w14:textId="77777777" w:rsidR="009B360E" w:rsidRPr="007D133E" w:rsidRDefault="009B360E" w:rsidP="000708FE">
      <w:pPr>
        <w:jc w:val="both"/>
      </w:pPr>
    </w:p>
    <w:p w14:paraId="126FB4D6" w14:textId="77777777" w:rsidR="009B360E" w:rsidRPr="007D133E" w:rsidRDefault="009B360E" w:rsidP="000708FE">
      <w:pPr>
        <w:tabs>
          <w:tab w:val="left" w:pos="540"/>
        </w:tabs>
        <w:jc w:val="both"/>
        <w:rPr>
          <w:b/>
        </w:rPr>
      </w:pPr>
      <w:r w:rsidRPr="007D133E">
        <w:rPr>
          <w:b/>
        </w:rPr>
        <w:t>5.3</w:t>
      </w:r>
      <w:r w:rsidRPr="007D133E">
        <w:rPr>
          <w:b/>
        </w:rPr>
        <w:tab/>
        <w:t>Предклинични данни за безопасност</w:t>
      </w:r>
    </w:p>
    <w:p w14:paraId="126FB4D7" w14:textId="77777777" w:rsidR="006246C8" w:rsidRPr="007D133E" w:rsidRDefault="006246C8" w:rsidP="000708FE">
      <w:pPr>
        <w:jc w:val="both"/>
      </w:pPr>
    </w:p>
    <w:p w14:paraId="126FB4D8" w14:textId="77777777" w:rsidR="009B360E" w:rsidRPr="007D133E" w:rsidRDefault="00AB4EC8" w:rsidP="000708FE">
      <w:pPr>
        <w:jc w:val="both"/>
      </w:pPr>
      <w:proofErr w:type="spellStart"/>
      <w:r w:rsidRPr="007D133E">
        <w:t>Тетризолин</w:t>
      </w:r>
      <w:proofErr w:type="spellEnd"/>
      <w:r w:rsidRPr="007D133E">
        <w:t xml:space="preserve"> е вещество с дълга клинична употреба, като няма експериментални данни за безопасност.</w:t>
      </w:r>
    </w:p>
    <w:p w14:paraId="126FB4D9" w14:textId="77777777" w:rsidR="009B360E" w:rsidRPr="007D133E" w:rsidRDefault="009B360E" w:rsidP="000708FE">
      <w:pPr>
        <w:jc w:val="both"/>
      </w:pPr>
    </w:p>
    <w:p w14:paraId="126FB4DA" w14:textId="77777777" w:rsidR="009B360E" w:rsidRPr="007D133E" w:rsidRDefault="009B360E" w:rsidP="000708FE">
      <w:pPr>
        <w:jc w:val="both"/>
      </w:pPr>
    </w:p>
    <w:p w14:paraId="126FB4DB" w14:textId="77777777" w:rsidR="009B360E" w:rsidRPr="007D133E" w:rsidRDefault="009B360E" w:rsidP="000708FE">
      <w:pPr>
        <w:tabs>
          <w:tab w:val="left" w:pos="540"/>
        </w:tabs>
        <w:jc w:val="both"/>
        <w:rPr>
          <w:b/>
        </w:rPr>
      </w:pPr>
      <w:r w:rsidRPr="007D133E">
        <w:rPr>
          <w:b/>
        </w:rPr>
        <w:t>6.</w:t>
      </w:r>
      <w:r w:rsidRPr="007D133E">
        <w:rPr>
          <w:b/>
        </w:rPr>
        <w:tab/>
        <w:t>ФАРМАЦЕВТИЧНИ ДАННИ</w:t>
      </w:r>
    </w:p>
    <w:p w14:paraId="126FB4DC" w14:textId="77777777" w:rsidR="009B360E" w:rsidRPr="007D133E" w:rsidRDefault="009B360E" w:rsidP="000708FE">
      <w:pPr>
        <w:jc w:val="both"/>
        <w:rPr>
          <w:b/>
        </w:rPr>
      </w:pPr>
    </w:p>
    <w:p w14:paraId="126FB4DD" w14:textId="77777777" w:rsidR="009B360E" w:rsidRPr="007D133E" w:rsidRDefault="00ED3060" w:rsidP="002706B4">
      <w:pPr>
        <w:jc w:val="both"/>
        <w:rPr>
          <w:b/>
        </w:rPr>
      </w:pPr>
      <w:r w:rsidRPr="007D133E">
        <w:rPr>
          <w:b/>
        </w:rPr>
        <w:t xml:space="preserve">6.1 </w:t>
      </w:r>
      <w:r w:rsidR="009B360E" w:rsidRPr="007D133E">
        <w:rPr>
          <w:b/>
        </w:rPr>
        <w:t>Списък на помощните вещества</w:t>
      </w:r>
    </w:p>
    <w:p w14:paraId="126FB4DE" w14:textId="77777777" w:rsidR="007D133E" w:rsidRDefault="007D133E" w:rsidP="000708FE">
      <w:pPr>
        <w:jc w:val="both"/>
      </w:pPr>
    </w:p>
    <w:p w14:paraId="73900BE7" w14:textId="2F80EA13" w:rsidR="00A675D6" w:rsidRDefault="005A105B" w:rsidP="000708FE">
      <w:pPr>
        <w:jc w:val="both"/>
      </w:pPr>
      <w:proofErr w:type="spellStart"/>
      <w:r w:rsidRPr="002706B4">
        <w:t>Рутозид</w:t>
      </w:r>
      <w:proofErr w:type="spellEnd"/>
      <w:r w:rsidRPr="002706B4">
        <w:t xml:space="preserve"> </w:t>
      </w:r>
      <w:proofErr w:type="spellStart"/>
      <w:r w:rsidRPr="002706B4">
        <w:t>трихидрат</w:t>
      </w:r>
      <w:proofErr w:type="spellEnd"/>
      <w:r w:rsidRPr="002706B4">
        <w:t xml:space="preserve"> </w:t>
      </w:r>
    </w:p>
    <w:p w14:paraId="3CAF5657" w14:textId="7F7F8462" w:rsidR="00A675D6" w:rsidRDefault="005A105B" w:rsidP="000708FE">
      <w:pPr>
        <w:jc w:val="both"/>
      </w:pPr>
      <w:proofErr w:type="spellStart"/>
      <w:r w:rsidRPr="002706B4">
        <w:t>бензалкониев</w:t>
      </w:r>
      <w:proofErr w:type="spellEnd"/>
      <w:r w:rsidRPr="002706B4">
        <w:t xml:space="preserve"> хлорид </w:t>
      </w:r>
    </w:p>
    <w:p w14:paraId="0D01085B" w14:textId="4990A122" w:rsidR="00A675D6" w:rsidRDefault="005A105B" w:rsidP="000708FE">
      <w:pPr>
        <w:jc w:val="both"/>
      </w:pPr>
      <w:r w:rsidRPr="002706B4">
        <w:t xml:space="preserve">натриев хлорид </w:t>
      </w:r>
    </w:p>
    <w:p w14:paraId="503E9C22" w14:textId="693AD097" w:rsidR="00A675D6" w:rsidRDefault="005A105B" w:rsidP="000708FE">
      <w:pPr>
        <w:jc w:val="both"/>
      </w:pPr>
      <w:proofErr w:type="spellStart"/>
      <w:r w:rsidRPr="002706B4">
        <w:t>борна</w:t>
      </w:r>
      <w:proofErr w:type="spellEnd"/>
      <w:r w:rsidRPr="002706B4">
        <w:t xml:space="preserve"> киселина </w:t>
      </w:r>
    </w:p>
    <w:p w14:paraId="3CAAE381" w14:textId="61219DC3" w:rsidR="00A675D6" w:rsidRDefault="005A105B" w:rsidP="000708FE">
      <w:pPr>
        <w:jc w:val="both"/>
      </w:pPr>
      <w:r w:rsidRPr="002706B4">
        <w:t xml:space="preserve">натриев </w:t>
      </w:r>
      <w:proofErr w:type="spellStart"/>
      <w:r w:rsidRPr="002706B4">
        <w:t>тетраборат</w:t>
      </w:r>
      <w:proofErr w:type="spellEnd"/>
      <w:r w:rsidRPr="002706B4">
        <w:t xml:space="preserve"> </w:t>
      </w:r>
    </w:p>
    <w:p w14:paraId="625C1F7F" w14:textId="26A388F6" w:rsidR="00A675D6" w:rsidRDefault="005A105B" w:rsidP="000708FE">
      <w:pPr>
        <w:jc w:val="both"/>
      </w:pPr>
      <w:proofErr w:type="spellStart"/>
      <w:r w:rsidRPr="002706B4">
        <w:t>динатриев</w:t>
      </w:r>
      <w:proofErr w:type="spellEnd"/>
      <w:r w:rsidRPr="002706B4">
        <w:t xml:space="preserve"> </w:t>
      </w:r>
      <w:proofErr w:type="spellStart"/>
      <w:r w:rsidRPr="002706B4">
        <w:t>едетат</w:t>
      </w:r>
      <w:proofErr w:type="spellEnd"/>
      <w:r w:rsidRPr="002706B4">
        <w:t xml:space="preserve"> </w:t>
      </w:r>
      <w:proofErr w:type="spellStart"/>
      <w:r w:rsidRPr="002706B4">
        <w:t>дихидрат</w:t>
      </w:r>
      <w:proofErr w:type="spellEnd"/>
      <w:r w:rsidRPr="002706B4">
        <w:t xml:space="preserve"> </w:t>
      </w:r>
    </w:p>
    <w:p w14:paraId="11D15790" w14:textId="0A016FD3" w:rsidR="00A675D6" w:rsidRDefault="005A105B" w:rsidP="000708FE">
      <w:pPr>
        <w:jc w:val="both"/>
      </w:pPr>
      <w:r w:rsidRPr="002706B4">
        <w:t xml:space="preserve">хлороводородна киселина </w:t>
      </w:r>
    </w:p>
    <w:p w14:paraId="126FB4DF" w14:textId="4ACC44C1" w:rsidR="005A105B" w:rsidRPr="002706B4" w:rsidRDefault="005A105B" w:rsidP="000708FE">
      <w:pPr>
        <w:jc w:val="both"/>
      </w:pPr>
      <w:r w:rsidRPr="002706B4">
        <w:t xml:space="preserve">пречистена вода </w:t>
      </w:r>
    </w:p>
    <w:p w14:paraId="126FB4E0" w14:textId="77777777" w:rsidR="007D133E" w:rsidRPr="002706B4" w:rsidRDefault="007D133E" w:rsidP="000708FE">
      <w:pPr>
        <w:jc w:val="both"/>
        <w:rPr>
          <w:b/>
        </w:rPr>
      </w:pPr>
    </w:p>
    <w:p w14:paraId="126FB4E1" w14:textId="77777777" w:rsidR="005A105B" w:rsidRPr="002706B4" w:rsidRDefault="00ED3060" w:rsidP="002706B4">
      <w:pPr>
        <w:jc w:val="both"/>
        <w:rPr>
          <w:b/>
        </w:rPr>
      </w:pPr>
      <w:r w:rsidRPr="002706B4">
        <w:rPr>
          <w:b/>
        </w:rPr>
        <w:t xml:space="preserve">6.2 </w:t>
      </w:r>
      <w:r w:rsidR="005A105B" w:rsidRPr="002706B4">
        <w:rPr>
          <w:b/>
        </w:rPr>
        <w:t>Несъвместимости</w:t>
      </w:r>
    </w:p>
    <w:p w14:paraId="126FB4E2" w14:textId="77777777" w:rsidR="007D133E" w:rsidRDefault="007D133E" w:rsidP="000708FE">
      <w:pPr>
        <w:jc w:val="both"/>
      </w:pPr>
    </w:p>
    <w:p w14:paraId="126FB4E3" w14:textId="77777777" w:rsidR="005A105B" w:rsidRPr="002706B4" w:rsidRDefault="005A105B" w:rsidP="000708FE">
      <w:pPr>
        <w:jc w:val="both"/>
      </w:pPr>
      <w:r w:rsidRPr="002706B4">
        <w:t>Не са известни.</w:t>
      </w:r>
    </w:p>
    <w:p w14:paraId="126FB4E4" w14:textId="77777777" w:rsidR="005A105B" w:rsidRPr="002706B4" w:rsidRDefault="005A105B" w:rsidP="000708FE">
      <w:pPr>
        <w:jc w:val="both"/>
      </w:pPr>
    </w:p>
    <w:p w14:paraId="126FB4E5" w14:textId="77777777" w:rsidR="005A105B" w:rsidRPr="002706B4" w:rsidRDefault="00ED3060" w:rsidP="002706B4">
      <w:pPr>
        <w:jc w:val="both"/>
        <w:rPr>
          <w:b/>
        </w:rPr>
      </w:pPr>
      <w:r w:rsidRPr="002706B4">
        <w:rPr>
          <w:b/>
        </w:rPr>
        <w:t xml:space="preserve">6.3 </w:t>
      </w:r>
      <w:r w:rsidR="005A105B" w:rsidRPr="002706B4">
        <w:rPr>
          <w:b/>
        </w:rPr>
        <w:t>Срок на годност</w:t>
      </w:r>
    </w:p>
    <w:p w14:paraId="126FB4E6" w14:textId="77777777" w:rsidR="007D133E" w:rsidRDefault="007D133E" w:rsidP="000708FE">
      <w:pPr>
        <w:jc w:val="both"/>
      </w:pPr>
    </w:p>
    <w:p w14:paraId="126FB4E7" w14:textId="77777777" w:rsidR="005A105B" w:rsidRPr="002706B4" w:rsidRDefault="005A105B" w:rsidP="000708FE">
      <w:pPr>
        <w:jc w:val="both"/>
      </w:pPr>
      <w:r w:rsidRPr="002706B4">
        <w:t xml:space="preserve">В </w:t>
      </w:r>
      <w:proofErr w:type="spellStart"/>
      <w:r w:rsidRPr="002706B4">
        <w:t>ненарушена</w:t>
      </w:r>
      <w:proofErr w:type="spellEnd"/>
      <w:r w:rsidRPr="002706B4">
        <w:t xml:space="preserve"> опаковка: 24 месеца</w:t>
      </w:r>
    </w:p>
    <w:p w14:paraId="126FB4E8" w14:textId="77777777" w:rsidR="005A105B" w:rsidRPr="002706B4" w:rsidRDefault="005A105B" w:rsidP="000708FE">
      <w:pPr>
        <w:jc w:val="both"/>
      </w:pPr>
      <w:r w:rsidRPr="002706B4">
        <w:t>След първо отваряне: 28 дни</w:t>
      </w:r>
    </w:p>
    <w:p w14:paraId="126FB4E9" w14:textId="77777777" w:rsidR="005A105B" w:rsidRPr="002706B4" w:rsidRDefault="005A105B" w:rsidP="000708FE">
      <w:pPr>
        <w:jc w:val="both"/>
      </w:pPr>
    </w:p>
    <w:p w14:paraId="126FB4EA" w14:textId="77777777" w:rsidR="005A105B" w:rsidRPr="002706B4" w:rsidRDefault="00ED3060" w:rsidP="002706B4">
      <w:pPr>
        <w:jc w:val="both"/>
        <w:rPr>
          <w:b/>
        </w:rPr>
      </w:pPr>
      <w:r w:rsidRPr="002706B4">
        <w:rPr>
          <w:b/>
        </w:rPr>
        <w:t xml:space="preserve">6.4 </w:t>
      </w:r>
      <w:r w:rsidR="005A105B" w:rsidRPr="002706B4">
        <w:rPr>
          <w:b/>
        </w:rPr>
        <w:t>Специални условия на съхранение</w:t>
      </w:r>
    </w:p>
    <w:p w14:paraId="126FB4EB" w14:textId="77777777" w:rsidR="007D133E" w:rsidRDefault="007D133E" w:rsidP="000708FE">
      <w:pPr>
        <w:jc w:val="both"/>
      </w:pPr>
    </w:p>
    <w:p w14:paraId="126FB4EC" w14:textId="77777777" w:rsidR="00A215D0" w:rsidRPr="002706B4" w:rsidRDefault="00A215D0" w:rsidP="000708FE">
      <w:pPr>
        <w:jc w:val="both"/>
        <w:rPr>
          <w:lang w:val="sk-SK"/>
        </w:rPr>
      </w:pPr>
      <w:r w:rsidRPr="002706B4">
        <w:t>Да се съхранява на място, недостъпно за деца</w:t>
      </w:r>
      <w:r w:rsidR="007F6A8F">
        <w:rPr>
          <w:lang w:val="sk-SK"/>
        </w:rPr>
        <w:t>.</w:t>
      </w:r>
    </w:p>
    <w:p w14:paraId="126FB4ED" w14:textId="77777777" w:rsidR="005A105B" w:rsidRPr="002706B4" w:rsidRDefault="005A105B" w:rsidP="000708FE">
      <w:pPr>
        <w:jc w:val="both"/>
      </w:pPr>
      <w:r w:rsidRPr="002706B4">
        <w:t>Да се съхранява под 25</w:t>
      </w:r>
      <w:r w:rsidRPr="002706B4">
        <w:sym w:font="Symbol" w:char="F0B0"/>
      </w:r>
      <w:r w:rsidRPr="002706B4">
        <w:t>С.</w:t>
      </w:r>
    </w:p>
    <w:p w14:paraId="126FB4EE" w14:textId="77777777" w:rsidR="005A105B" w:rsidRPr="002706B4" w:rsidRDefault="005A105B" w:rsidP="000708FE">
      <w:pPr>
        <w:jc w:val="both"/>
      </w:pPr>
      <w:r w:rsidRPr="002706B4">
        <w:t xml:space="preserve">Да не се </w:t>
      </w:r>
      <w:r w:rsidR="000751CB" w:rsidRPr="002706B4">
        <w:t xml:space="preserve">съхранява </w:t>
      </w:r>
      <w:r w:rsidRPr="002706B4">
        <w:t>в хладилник.</w:t>
      </w:r>
    </w:p>
    <w:p w14:paraId="126FB4EF" w14:textId="77777777" w:rsidR="005A105B" w:rsidRPr="002706B4" w:rsidRDefault="005A105B" w:rsidP="000708FE">
      <w:pPr>
        <w:jc w:val="both"/>
      </w:pPr>
      <w:r w:rsidRPr="002706B4">
        <w:t>Да се съхранява в оригиналната опаковка, за да се предпази от светлина.</w:t>
      </w:r>
    </w:p>
    <w:p w14:paraId="126FB4F0" w14:textId="77777777" w:rsidR="005A105B" w:rsidRPr="002706B4" w:rsidRDefault="005A105B" w:rsidP="000708FE">
      <w:pPr>
        <w:jc w:val="both"/>
      </w:pPr>
    </w:p>
    <w:p w14:paraId="126FB4F1" w14:textId="77777777" w:rsidR="009B360E" w:rsidRPr="007D133E" w:rsidRDefault="005A105B" w:rsidP="000708FE">
      <w:pPr>
        <w:tabs>
          <w:tab w:val="left" w:pos="540"/>
        </w:tabs>
        <w:jc w:val="both"/>
        <w:rPr>
          <w:b/>
        </w:rPr>
      </w:pPr>
      <w:r w:rsidRPr="007D133E">
        <w:rPr>
          <w:b/>
        </w:rPr>
        <w:t>6.5</w:t>
      </w:r>
      <w:r w:rsidRPr="007D133E">
        <w:rPr>
          <w:b/>
        </w:rPr>
        <w:tab/>
      </w:r>
      <w:r w:rsidR="007D133E" w:rsidRPr="007D133E">
        <w:rPr>
          <w:b/>
        </w:rPr>
        <w:t>Вид и съдържание на опаковката</w:t>
      </w:r>
    </w:p>
    <w:p w14:paraId="126FB4F2" w14:textId="77777777" w:rsidR="007D133E" w:rsidRDefault="007D133E" w:rsidP="000708FE">
      <w:pPr>
        <w:jc w:val="both"/>
      </w:pPr>
    </w:p>
    <w:p w14:paraId="126FB4F3" w14:textId="77777777" w:rsidR="005A105B" w:rsidRPr="007D133E" w:rsidRDefault="005A105B" w:rsidP="000708FE">
      <w:pPr>
        <w:jc w:val="both"/>
      </w:pPr>
      <w:r w:rsidRPr="007D133E">
        <w:t>Полиетиленов</w:t>
      </w:r>
      <w:r w:rsidR="00A215D0" w:rsidRPr="007D133E">
        <w:t xml:space="preserve"> флакон</w:t>
      </w:r>
      <w:r w:rsidRPr="007D133E">
        <w:t xml:space="preserve"> с дозатор, </w:t>
      </w:r>
      <w:proofErr w:type="spellStart"/>
      <w:r w:rsidR="006651D2" w:rsidRPr="00A263CF">
        <w:t>полипропиленова</w:t>
      </w:r>
      <w:proofErr w:type="spellEnd"/>
      <w:r w:rsidR="006651D2" w:rsidRPr="00A263CF">
        <w:t xml:space="preserve"> капачка на винт с полиетиленов защитен пръстен</w:t>
      </w:r>
      <w:r w:rsidRPr="00FD0584">
        <w:t>, етикет</w:t>
      </w:r>
      <w:r w:rsidRPr="007D133E">
        <w:t xml:space="preserve">. </w:t>
      </w:r>
      <w:r w:rsidR="00A215D0" w:rsidRPr="007D133E">
        <w:t>Флаконът</w:t>
      </w:r>
      <w:r w:rsidRPr="007D133E">
        <w:t xml:space="preserve"> е опакован в картонена </w:t>
      </w:r>
      <w:r w:rsidR="00A215D0" w:rsidRPr="007D133E">
        <w:t>опаковка</w:t>
      </w:r>
      <w:r w:rsidRPr="007D133E">
        <w:t xml:space="preserve">, заедно с </w:t>
      </w:r>
      <w:r w:rsidR="007D133E" w:rsidRPr="007D133E">
        <w:t>листовка за потребителя</w:t>
      </w:r>
      <w:r w:rsidRPr="007D133E">
        <w:t>.</w:t>
      </w:r>
    </w:p>
    <w:p w14:paraId="126FB4F4" w14:textId="77777777" w:rsidR="005A105B" w:rsidRPr="007D133E" w:rsidRDefault="005A105B" w:rsidP="000708FE">
      <w:pPr>
        <w:jc w:val="both"/>
      </w:pPr>
    </w:p>
    <w:p w14:paraId="126FB4F5" w14:textId="77777777" w:rsidR="005A105B" w:rsidRPr="007D133E" w:rsidRDefault="005A105B" w:rsidP="000708FE">
      <w:pPr>
        <w:jc w:val="both"/>
      </w:pPr>
      <w:r w:rsidRPr="007D133E">
        <w:t>Вид на опаковката: 1 х 10 ml</w:t>
      </w:r>
    </w:p>
    <w:p w14:paraId="126FB4F6" w14:textId="77777777" w:rsidR="005A105B" w:rsidRPr="007D133E" w:rsidRDefault="005A105B" w:rsidP="000708FE">
      <w:pPr>
        <w:jc w:val="both"/>
      </w:pPr>
    </w:p>
    <w:p w14:paraId="126FB4F7" w14:textId="77777777" w:rsidR="005A105B" w:rsidRPr="007D133E" w:rsidRDefault="005A105B" w:rsidP="000708FE">
      <w:pPr>
        <w:tabs>
          <w:tab w:val="left" w:pos="540"/>
        </w:tabs>
        <w:jc w:val="both"/>
        <w:rPr>
          <w:b/>
        </w:rPr>
      </w:pPr>
      <w:r w:rsidRPr="007D133E">
        <w:rPr>
          <w:b/>
        </w:rPr>
        <w:t>6.6</w:t>
      </w:r>
      <w:r w:rsidRPr="007D133E">
        <w:rPr>
          <w:b/>
        </w:rPr>
        <w:tab/>
        <w:t>Специални предпазни мерки при изхвърляне и работа</w:t>
      </w:r>
    </w:p>
    <w:p w14:paraId="126FB4F8" w14:textId="77777777" w:rsidR="007D133E" w:rsidRPr="007D133E" w:rsidRDefault="007D133E" w:rsidP="000708FE">
      <w:pPr>
        <w:jc w:val="both"/>
      </w:pPr>
    </w:p>
    <w:p w14:paraId="126FB4F9" w14:textId="77777777" w:rsidR="005A105B" w:rsidRPr="007D133E" w:rsidRDefault="007B1372" w:rsidP="000708FE">
      <w:pPr>
        <w:jc w:val="both"/>
      </w:pPr>
      <w:r w:rsidRPr="007D133E">
        <w:t xml:space="preserve">След отваряне лекарството е готово за външно приложение. </w:t>
      </w:r>
      <w:r w:rsidR="00AB4EC8" w:rsidRPr="007D133E">
        <w:t>Отвинтва</w:t>
      </w:r>
      <w:r w:rsidRPr="007D133E">
        <w:t xml:space="preserve"> се предпазното капаче чрез слабо завъртане обратно на часовниковата стрелка, </w:t>
      </w:r>
      <w:r w:rsidR="00A215D0" w:rsidRPr="007D133E">
        <w:t>флаконът</w:t>
      </w:r>
      <w:r w:rsidRPr="007D133E">
        <w:t xml:space="preserve"> се обръща обратно и чрез натискане на капкомера се отмерват и накапват определения брой капки в </w:t>
      </w:r>
      <w:proofErr w:type="spellStart"/>
      <w:r w:rsidRPr="007D133E">
        <w:t>конюнктивалната</w:t>
      </w:r>
      <w:proofErr w:type="spellEnd"/>
      <w:r w:rsidRPr="007D133E">
        <w:t xml:space="preserve"> торбичка. При накапването не трябва да се докосват окото и веждите. След това се изисква капачето да се завинти обратно добре, за предпазване от евентуално замърсяване. </w:t>
      </w:r>
      <w:r w:rsidR="00A215D0" w:rsidRPr="007D133E">
        <w:t>Флаконът</w:t>
      </w:r>
      <w:r w:rsidRPr="007D133E">
        <w:t xml:space="preserve"> се съхранява в изправено положение.</w:t>
      </w:r>
    </w:p>
    <w:p w14:paraId="126FB4FA" w14:textId="77777777" w:rsidR="007B1372" w:rsidRPr="007D133E" w:rsidRDefault="007B1372" w:rsidP="000708FE">
      <w:pPr>
        <w:jc w:val="both"/>
      </w:pPr>
    </w:p>
    <w:p w14:paraId="126FB4FB" w14:textId="77777777" w:rsidR="007B1372" w:rsidRPr="002706B4" w:rsidRDefault="007B1372" w:rsidP="000708FE">
      <w:pPr>
        <w:jc w:val="both"/>
      </w:pPr>
    </w:p>
    <w:p w14:paraId="126FB4FC" w14:textId="77777777" w:rsidR="007B1372" w:rsidRPr="007D133E" w:rsidRDefault="007B1372" w:rsidP="002706B4">
      <w:pPr>
        <w:jc w:val="both"/>
        <w:rPr>
          <w:b/>
        </w:rPr>
      </w:pPr>
      <w:r w:rsidRPr="002706B4">
        <w:t>7.</w:t>
      </w:r>
      <w:r w:rsidRPr="007D133E">
        <w:rPr>
          <w:b/>
        </w:rPr>
        <w:tab/>
        <w:t>ПРИТЕЖАТЕЛ НА РАЗРЕШЕНИЕТО ЗА УПОТРЕБА</w:t>
      </w:r>
    </w:p>
    <w:p w14:paraId="126FB4FD" w14:textId="77777777" w:rsidR="007B1372" w:rsidRPr="002706B4" w:rsidRDefault="007B1372" w:rsidP="000708FE">
      <w:pPr>
        <w:jc w:val="both"/>
      </w:pPr>
    </w:p>
    <w:p w14:paraId="126FB4FE" w14:textId="77777777" w:rsidR="005A105B" w:rsidRPr="002706B4" w:rsidRDefault="007B1372" w:rsidP="000708FE">
      <w:pPr>
        <w:jc w:val="both"/>
      </w:pPr>
      <w:r w:rsidRPr="002706B4">
        <w:t xml:space="preserve">UNIMED PHARMA Ltd., </w:t>
      </w:r>
      <w:proofErr w:type="spellStart"/>
      <w:r w:rsidRPr="002706B4">
        <w:t>Oriešková</w:t>
      </w:r>
      <w:proofErr w:type="spellEnd"/>
      <w:r w:rsidRPr="002706B4">
        <w:t xml:space="preserve"> 11, 821 05 </w:t>
      </w:r>
      <w:proofErr w:type="spellStart"/>
      <w:r w:rsidRPr="002706B4">
        <w:t>Bratislava</w:t>
      </w:r>
      <w:proofErr w:type="spellEnd"/>
      <w:r w:rsidRPr="002706B4">
        <w:t>, Словашка република</w:t>
      </w:r>
    </w:p>
    <w:p w14:paraId="126FB4FF" w14:textId="77777777" w:rsidR="007B1372" w:rsidRPr="002706B4" w:rsidRDefault="007B1372" w:rsidP="000708FE">
      <w:pPr>
        <w:jc w:val="both"/>
      </w:pPr>
    </w:p>
    <w:p w14:paraId="126FB500" w14:textId="77777777" w:rsidR="000708FE" w:rsidRPr="002706B4" w:rsidRDefault="000708FE" w:rsidP="000708FE">
      <w:pPr>
        <w:jc w:val="both"/>
      </w:pPr>
    </w:p>
    <w:p w14:paraId="126FB501" w14:textId="77777777" w:rsidR="007B1372" w:rsidRPr="002706B4" w:rsidRDefault="007B1372" w:rsidP="000708FE">
      <w:pPr>
        <w:tabs>
          <w:tab w:val="left" w:pos="540"/>
        </w:tabs>
        <w:jc w:val="both"/>
        <w:rPr>
          <w:b/>
        </w:rPr>
      </w:pPr>
      <w:r w:rsidRPr="002706B4">
        <w:rPr>
          <w:b/>
        </w:rPr>
        <w:t>8.</w:t>
      </w:r>
      <w:r w:rsidRPr="002706B4">
        <w:rPr>
          <w:b/>
        </w:rPr>
        <w:tab/>
        <w:t>НОМЕР НА РАЗРЕШЕНИЕТО ЗА УПОТРЕБА</w:t>
      </w:r>
    </w:p>
    <w:p w14:paraId="126FB502" w14:textId="77777777" w:rsidR="007B1372" w:rsidRPr="007D133E" w:rsidRDefault="007B1372" w:rsidP="000708FE">
      <w:pPr>
        <w:jc w:val="both"/>
      </w:pPr>
    </w:p>
    <w:p w14:paraId="126FB503" w14:textId="14A6A7A4" w:rsidR="007B1372" w:rsidRPr="007D133E" w:rsidRDefault="00A675D6" w:rsidP="000708FE">
      <w:pPr>
        <w:jc w:val="both"/>
      </w:pPr>
      <w:r>
        <w:t xml:space="preserve">Рег. № </w:t>
      </w:r>
      <w:r w:rsidR="007B1372" w:rsidRPr="007D133E">
        <w:t>20040541</w:t>
      </w:r>
    </w:p>
    <w:p w14:paraId="126FB504" w14:textId="77777777" w:rsidR="007B1372" w:rsidRPr="007D133E" w:rsidRDefault="007B1372" w:rsidP="000708FE">
      <w:pPr>
        <w:jc w:val="both"/>
      </w:pPr>
    </w:p>
    <w:p w14:paraId="126FB505" w14:textId="77777777" w:rsidR="000708FE" w:rsidRPr="007D133E" w:rsidRDefault="000708FE" w:rsidP="000708FE">
      <w:pPr>
        <w:jc w:val="both"/>
      </w:pPr>
    </w:p>
    <w:p w14:paraId="126FB506" w14:textId="77777777" w:rsidR="007D133E" w:rsidRPr="002706B4" w:rsidRDefault="007B1372" w:rsidP="007D133E">
      <w:pPr>
        <w:ind w:left="567" w:hanging="567"/>
        <w:rPr>
          <w:b/>
        </w:rPr>
      </w:pPr>
      <w:r w:rsidRPr="007D133E">
        <w:rPr>
          <w:b/>
        </w:rPr>
        <w:t>9.</w:t>
      </w:r>
      <w:r w:rsidRPr="007D133E">
        <w:rPr>
          <w:b/>
        </w:rPr>
        <w:tab/>
        <w:t>ДАТА НА ПЪРВО РАЗРЕШАВАНЕ</w:t>
      </w:r>
      <w:r w:rsidR="007D133E" w:rsidRPr="002706B4">
        <w:rPr>
          <w:b/>
        </w:rPr>
        <w:t>/ПОДНОВЯВАНЕ НА РАЗРЕШЕНИЕТО ЗА УПОТРЕБА</w:t>
      </w:r>
    </w:p>
    <w:p w14:paraId="126FB507" w14:textId="77777777" w:rsidR="00546429" w:rsidRPr="007D133E" w:rsidRDefault="00546429" w:rsidP="007D133E">
      <w:pPr>
        <w:tabs>
          <w:tab w:val="left" w:pos="540"/>
        </w:tabs>
        <w:jc w:val="both"/>
      </w:pPr>
    </w:p>
    <w:p w14:paraId="126FB508" w14:textId="77777777" w:rsidR="007B1372" w:rsidRPr="007D133E" w:rsidRDefault="00A25E00" w:rsidP="000708FE">
      <w:pPr>
        <w:jc w:val="both"/>
      </w:pPr>
      <w:r w:rsidRPr="008F229F">
        <w:rPr>
          <w:noProof/>
        </w:rPr>
        <w:t>Дата на първо разрешаване:</w:t>
      </w:r>
      <w:r>
        <w:rPr>
          <w:noProof/>
          <w:lang w:val="sk-SK"/>
        </w:rPr>
        <w:t xml:space="preserve"> </w:t>
      </w:r>
      <w:r w:rsidR="00546429" w:rsidRPr="007D133E">
        <w:t>18.11.2004</w:t>
      </w:r>
    </w:p>
    <w:p w14:paraId="126FB509" w14:textId="77777777" w:rsidR="007B1372" w:rsidRPr="002706B4" w:rsidRDefault="00A25E00" w:rsidP="000708FE">
      <w:pPr>
        <w:jc w:val="both"/>
      </w:pPr>
      <w:r w:rsidRPr="008F229F">
        <w:rPr>
          <w:noProof/>
        </w:rPr>
        <w:t>Дата на последно подновяване:</w:t>
      </w:r>
      <w:r>
        <w:rPr>
          <w:noProof/>
          <w:lang w:val="sk-SK"/>
        </w:rPr>
        <w:t xml:space="preserve"> </w:t>
      </w:r>
      <w:r w:rsidR="007D133E" w:rsidRPr="002706B4">
        <w:t>11.02.2011</w:t>
      </w:r>
    </w:p>
    <w:p w14:paraId="126FB50A" w14:textId="77777777" w:rsidR="000708FE" w:rsidRDefault="000708FE" w:rsidP="000708FE">
      <w:pPr>
        <w:jc w:val="both"/>
        <w:rPr>
          <w:b/>
        </w:rPr>
      </w:pPr>
    </w:p>
    <w:p w14:paraId="126FB50B" w14:textId="77777777" w:rsidR="007D133E" w:rsidRPr="007D133E" w:rsidRDefault="007D133E" w:rsidP="000708FE">
      <w:pPr>
        <w:jc w:val="both"/>
        <w:rPr>
          <w:b/>
        </w:rPr>
      </w:pPr>
    </w:p>
    <w:p w14:paraId="126FB50C" w14:textId="77777777" w:rsidR="007B1372" w:rsidRPr="007D133E" w:rsidRDefault="007B1372" w:rsidP="000708FE">
      <w:pPr>
        <w:tabs>
          <w:tab w:val="left" w:pos="540"/>
        </w:tabs>
        <w:jc w:val="both"/>
        <w:rPr>
          <w:b/>
        </w:rPr>
      </w:pPr>
      <w:r w:rsidRPr="007D133E">
        <w:rPr>
          <w:b/>
        </w:rPr>
        <w:t>10.</w:t>
      </w:r>
      <w:r w:rsidRPr="007D133E">
        <w:rPr>
          <w:b/>
        </w:rPr>
        <w:tab/>
        <w:t>ДАТА НА АКТУАЛИЗИРАНЕ НА</w:t>
      </w:r>
      <w:r w:rsidR="00520467" w:rsidRPr="007D133E">
        <w:rPr>
          <w:b/>
        </w:rPr>
        <w:t xml:space="preserve"> </w:t>
      </w:r>
      <w:r w:rsidRPr="007D133E">
        <w:rPr>
          <w:b/>
        </w:rPr>
        <w:t>ТЕКСТА</w:t>
      </w:r>
    </w:p>
    <w:p w14:paraId="126FB50D" w14:textId="77777777" w:rsidR="007B1372" w:rsidRPr="007D133E" w:rsidRDefault="007B1372" w:rsidP="000708FE">
      <w:pPr>
        <w:jc w:val="both"/>
      </w:pPr>
    </w:p>
    <w:p w14:paraId="126FB50E" w14:textId="77777777" w:rsidR="007B1372" w:rsidRPr="007D133E" w:rsidRDefault="007D133E" w:rsidP="000708FE">
      <w:pPr>
        <w:jc w:val="both"/>
      </w:pPr>
      <w:r w:rsidRPr="007D133E">
        <w:t>Април</w:t>
      </w:r>
      <w:r w:rsidR="007B1372" w:rsidRPr="007D133E">
        <w:t>/</w:t>
      </w:r>
      <w:r w:rsidRPr="007D133E">
        <w:t>2019</w:t>
      </w:r>
    </w:p>
    <w:sectPr w:rsidR="007B1372" w:rsidRPr="007D133E">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4036EB" w14:textId="77777777" w:rsidR="0091430E" w:rsidRDefault="0091430E" w:rsidP="00F56C87">
      <w:r>
        <w:separator/>
      </w:r>
    </w:p>
  </w:endnote>
  <w:endnote w:type="continuationSeparator" w:id="0">
    <w:p w14:paraId="64B7D57D" w14:textId="77777777" w:rsidR="0091430E" w:rsidRDefault="0091430E" w:rsidP="00F56C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16938037"/>
      <w:docPartObj>
        <w:docPartGallery w:val="Page Numbers (Bottom of Page)"/>
        <w:docPartUnique/>
      </w:docPartObj>
    </w:sdtPr>
    <w:sdtEndPr>
      <w:rPr>
        <w:noProof/>
      </w:rPr>
    </w:sdtEndPr>
    <w:sdtContent>
      <w:p w14:paraId="7AD323C3" w14:textId="2A1437C8" w:rsidR="00F56C87" w:rsidRDefault="00F56C8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25FC12F" w14:textId="77777777" w:rsidR="00F56C87" w:rsidRDefault="00F56C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BECF21" w14:textId="77777777" w:rsidR="0091430E" w:rsidRDefault="0091430E" w:rsidP="00F56C87">
      <w:r>
        <w:separator/>
      </w:r>
    </w:p>
  </w:footnote>
  <w:footnote w:type="continuationSeparator" w:id="0">
    <w:p w14:paraId="27B3F059" w14:textId="77777777" w:rsidR="0091430E" w:rsidRDefault="0091430E" w:rsidP="00F56C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B0F30"/>
    <w:multiLevelType w:val="multilevel"/>
    <w:tmpl w:val="B406CC18"/>
    <w:lvl w:ilvl="0">
      <w:start w:val="4"/>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177A5909"/>
    <w:multiLevelType w:val="multilevel"/>
    <w:tmpl w:val="B406CC18"/>
    <w:lvl w:ilvl="0">
      <w:start w:val="4"/>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3CF306AE"/>
    <w:multiLevelType w:val="multilevel"/>
    <w:tmpl w:val="E43EA036"/>
    <w:lvl w:ilvl="0">
      <w:start w:val="4"/>
      <w:numFmt w:val="decimal"/>
      <w:lvlText w:val="%1"/>
      <w:lvlJc w:val="left"/>
      <w:pPr>
        <w:tabs>
          <w:tab w:val="num" w:pos="360"/>
        </w:tabs>
        <w:ind w:left="360" w:hanging="360"/>
      </w:pPr>
      <w:rPr>
        <w:rFonts w:hint="default"/>
      </w:rPr>
    </w:lvl>
    <w:lvl w:ilvl="1">
      <w:start w:val="8"/>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50FB6128"/>
    <w:multiLevelType w:val="multilevel"/>
    <w:tmpl w:val="16C87A60"/>
    <w:lvl w:ilvl="0">
      <w:start w:val="4"/>
      <w:numFmt w:val="decimal"/>
      <w:lvlText w:val="%1"/>
      <w:lvlJc w:val="left"/>
      <w:pPr>
        <w:tabs>
          <w:tab w:val="num" w:pos="705"/>
        </w:tabs>
        <w:ind w:left="705" w:hanging="705"/>
      </w:pPr>
      <w:rPr>
        <w:rFonts w:hint="default"/>
      </w:rPr>
    </w:lvl>
    <w:lvl w:ilvl="1">
      <w:start w:val="4"/>
      <w:numFmt w:val="bullet"/>
      <w:lvlText w:val="-"/>
      <w:lvlJc w:val="left"/>
      <w:pPr>
        <w:tabs>
          <w:tab w:val="num" w:pos="360"/>
        </w:tabs>
        <w:ind w:left="360" w:hanging="360"/>
      </w:pPr>
      <w:rPr>
        <w:rFonts w:ascii="Times New Roman" w:eastAsia="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7A6E220A"/>
    <w:multiLevelType w:val="multilevel"/>
    <w:tmpl w:val="B406CC18"/>
    <w:lvl w:ilvl="0">
      <w:start w:val="4"/>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76D7"/>
    <w:rsid w:val="00037930"/>
    <w:rsid w:val="000708FE"/>
    <w:rsid w:val="000751CB"/>
    <w:rsid w:val="000A19AC"/>
    <w:rsid w:val="000D1EB8"/>
    <w:rsid w:val="000F7AF4"/>
    <w:rsid w:val="000F7C1E"/>
    <w:rsid w:val="00107574"/>
    <w:rsid w:val="001272A8"/>
    <w:rsid w:val="00173817"/>
    <w:rsid w:val="002028BE"/>
    <w:rsid w:val="00241928"/>
    <w:rsid w:val="002503AE"/>
    <w:rsid w:val="002706B4"/>
    <w:rsid w:val="0027586F"/>
    <w:rsid w:val="002770F6"/>
    <w:rsid w:val="002811F2"/>
    <w:rsid w:val="002816AD"/>
    <w:rsid w:val="002861BF"/>
    <w:rsid w:val="002B3D54"/>
    <w:rsid w:val="002C3EF5"/>
    <w:rsid w:val="002D0601"/>
    <w:rsid w:val="002D24B4"/>
    <w:rsid w:val="002F4BBC"/>
    <w:rsid w:val="00344372"/>
    <w:rsid w:val="003546FD"/>
    <w:rsid w:val="00386203"/>
    <w:rsid w:val="003E0B34"/>
    <w:rsid w:val="003E31FD"/>
    <w:rsid w:val="003F2A38"/>
    <w:rsid w:val="003F3D31"/>
    <w:rsid w:val="0045122A"/>
    <w:rsid w:val="0045415A"/>
    <w:rsid w:val="0045755E"/>
    <w:rsid w:val="004D65CF"/>
    <w:rsid w:val="004D71A0"/>
    <w:rsid w:val="00512BF3"/>
    <w:rsid w:val="00520467"/>
    <w:rsid w:val="00546429"/>
    <w:rsid w:val="00547F26"/>
    <w:rsid w:val="00577811"/>
    <w:rsid w:val="005A105B"/>
    <w:rsid w:val="006246C8"/>
    <w:rsid w:val="00627B83"/>
    <w:rsid w:val="0063787A"/>
    <w:rsid w:val="006651D2"/>
    <w:rsid w:val="006A0A34"/>
    <w:rsid w:val="00721CAA"/>
    <w:rsid w:val="00744790"/>
    <w:rsid w:val="00763A3C"/>
    <w:rsid w:val="007A47F6"/>
    <w:rsid w:val="007B1372"/>
    <w:rsid w:val="007C55D9"/>
    <w:rsid w:val="007D133E"/>
    <w:rsid w:val="007D77C0"/>
    <w:rsid w:val="007F6A8F"/>
    <w:rsid w:val="00810D09"/>
    <w:rsid w:val="00851595"/>
    <w:rsid w:val="008551D1"/>
    <w:rsid w:val="008758AB"/>
    <w:rsid w:val="00887F80"/>
    <w:rsid w:val="00894F16"/>
    <w:rsid w:val="008A5521"/>
    <w:rsid w:val="008B4595"/>
    <w:rsid w:val="008D47FD"/>
    <w:rsid w:val="008F597B"/>
    <w:rsid w:val="0091430E"/>
    <w:rsid w:val="00956258"/>
    <w:rsid w:val="00986DB7"/>
    <w:rsid w:val="009940A3"/>
    <w:rsid w:val="009B360E"/>
    <w:rsid w:val="009B7032"/>
    <w:rsid w:val="009D78E5"/>
    <w:rsid w:val="009F2376"/>
    <w:rsid w:val="00A215D0"/>
    <w:rsid w:val="00A25E00"/>
    <w:rsid w:val="00A263CF"/>
    <w:rsid w:val="00A35C8F"/>
    <w:rsid w:val="00A675D6"/>
    <w:rsid w:val="00A86B20"/>
    <w:rsid w:val="00A976D7"/>
    <w:rsid w:val="00AB4EC8"/>
    <w:rsid w:val="00B13A25"/>
    <w:rsid w:val="00B14208"/>
    <w:rsid w:val="00B161EC"/>
    <w:rsid w:val="00B31C9F"/>
    <w:rsid w:val="00B43C98"/>
    <w:rsid w:val="00B4730A"/>
    <w:rsid w:val="00B82221"/>
    <w:rsid w:val="00B90791"/>
    <w:rsid w:val="00B9607C"/>
    <w:rsid w:val="00B97B2B"/>
    <w:rsid w:val="00BF189D"/>
    <w:rsid w:val="00C02190"/>
    <w:rsid w:val="00C21D23"/>
    <w:rsid w:val="00C43E02"/>
    <w:rsid w:val="00C5318B"/>
    <w:rsid w:val="00CD5D3E"/>
    <w:rsid w:val="00D433BC"/>
    <w:rsid w:val="00D50955"/>
    <w:rsid w:val="00D54EE7"/>
    <w:rsid w:val="00D7768F"/>
    <w:rsid w:val="00D962AC"/>
    <w:rsid w:val="00DE7E0C"/>
    <w:rsid w:val="00E22831"/>
    <w:rsid w:val="00E311C3"/>
    <w:rsid w:val="00E32F07"/>
    <w:rsid w:val="00EB53F1"/>
    <w:rsid w:val="00ED3060"/>
    <w:rsid w:val="00F56C87"/>
    <w:rsid w:val="00F61087"/>
    <w:rsid w:val="00F65E11"/>
    <w:rsid w:val="00F667D9"/>
    <w:rsid w:val="00F72521"/>
    <w:rsid w:val="00FA062A"/>
    <w:rsid w:val="00FC0E75"/>
    <w:rsid w:val="00FC1FA2"/>
    <w:rsid w:val="00FD058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6FB477"/>
  <w15:docId w15:val="{4EDA3D2E-8EA7-4F8C-B497-6A383C2FD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bg-B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6246C8"/>
    <w:rPr>
      <w:rFonts w:ascii="Tahoma" w:hAnsi="Tahoma" w:cs="Tahoma"/>
      <w:sz w:val="16"/>
      <w:szCs w:val="16"/>
    </w:rPr>
  </w:style>
  <w:style w:type="character" w:customStyle="1" w:styleId="BalloonTextChar">
    <w:name w:val="Balloon Text Char"/>
    <w:basedOn w:val="DefaultParagraphFont"/>
    <w:link w:val="BalloonText"/>
    <w:rsid w:val="006246C8"/>
    <w:rPr>
      <w:rFonts w:ascii="Tahoma" w:hAnsi="Tahoma" w:cs="Tahoma"/>
      <w:sz w:val="16"/>
      <w:szCs w:val="16"/>
      <w:lang w:val="bg-BG" w:eastAsia="bg-BG"/>
    </w:rPr>
  </w:style>
  <w:style w:type="character" w:styleId="Hyperlink">
    <w:name w:val="Hyperlink"/>
    <w:basedOn w:val="DefaultParagraphFont"/>
    <w:uiPriority w:val="99"/>
    <w:unhideWhenUsed/>
    <w:rsid w:val="006246C8"/>
    <w:rPr>
      <w:color w:val="0000FF" w:themeColor="hyperlink"/>
      <w:u w:val="single"/>
    </w:rPr>
  </w:style>
  <w:style w:type="paragraph" w:styleId="Header">
    <w:name w:val="header"/>
    <w:basedOn w:val="Normal"/>
    <w:link w:val="HeaderChar"/>
    <w:unhideWhenUsed/>
    <w:rsid w:val="00F56C87"/>
    <w:pPr>
      <w:tabs>
        <w:tab w:val="center" w:pos="4703"/>
        <w:tab w:val="right" w:pos="9406"/>
      </w:tabs>
    </w:pPr>
  </w:style>
  <w:style w:type="character" w:customStyle="1" w:styleId="HeaderChar">
    <w:name w:val="Header Char"/>
    <w:basedOn w:val="DefaultParagraphFont"/>
    <w:link w:val="Header"/>
    <w:rsid w:val="00F56C87"/>
    <w:rPr>
      <w:sz w:val="24"/>
      <w:szCs w:val="24"/>
      <w:lang w:val="bg-BG" w:eastAsia="bg-BG"/>
    </w:rPr>
  </w:style>
  <w:style w:type="paragraph" w:styleId="Footer">
    <w:name w:val="footer"/>
    <w:basedOn w:val="Normal"/>
    <w:link w:val="FooterChar"/>
    <w:uiPriority w:val="99"/>
    <w:unhideWhenUsed/>
    <w:rsid w:val="00F56C87"/>
    <w:pPr>
      <w:tabs>
        <w:tab w:val="center" w:pos="4703"/>
        <w:tab w:val="right" w:pos="9406"/>
      </w:tabs>
    </w:pPr>
  </w:style>
  <w:style w:type="character" w:customStyle="1" w:styleId="FooterChar">
    <w:name w:val="Footer Char"/>
    <w:basedOn w:val="DefaultParagraphFont"/>
    <w:link w:val="Footer"/>
    <w:uiPriority w:val="99"/>
    <w:rsid w:val="00F56C87"/>
    <w:rPr>
      <w:sz w:val="24"/>
      <w:szCs w:val="24"/>
      <w:lang w:val="bg-B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3015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bda.b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1335</Words>
  <Characters>7615</Characters>
  <Application>Microsoft Office Word</Application>
  <DocSecurity>0</DocSecurity>
  <Lines>63</Lines>
  <Paragraphs>17</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&lt;arabianhorse&gt;</Company>
  <LinksUpToDate>false</LinksUpToDate>
  <CharactersWithSpaces>8933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dc:creator>
  <cp:lastModifiedBy>Galina Bunardjieva</cp:lastModifiedBy>
  <cp:revision>11</cp:revision>
  <cp:lastPrinted>2009-05-20T12:43:00Z</cp:lastPrinted>
  <dcterms:created xsi:type="dcterms:W3CDTF">2019-05-30T09:57:00Z</dcterms:created>
  <dcterms:modified xsi:type="dcterms:W3CDTF">2019-08-26T11:34:00Z</dcterms:modified>
</cp:coreProperties>
</file>